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jc w:val="center"/>
      </w:pPr>
      <w:r>
        <w:rPr>
          <w:rFonts w:hint="eastAsia"/>
        </w:rPr>
        <w:t>中经网统计数据</w:t>
      </w:r>
      <w:r>
        <w:t>库产品介绍</w:t>
      </w:r>
    </w:p>
    <w:p>
      <w:pPr>
        <w:pStyle w:val="2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一、产品介绍</w:t>
      </w:r>
    </w:p>
    <w:p>
      <w:pPr>
        <w:spacing w:line="360" w:lineRule="auto"/>
        <w:ind w:firstLine="42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《中经网统计数据库》是一个经过专业化处理、组织而形成的综合经济数据库群，包括</w:t>
      </w:r>
      <w:r>
        <w:rPr>
          <w:rFonts w:hint="eastAsia" w:ascii="宋体" w:hAnsi="宋体"/>
          <w:b/>
          <w:bCs/>
          <w:color w:val="000000"/>
          <w:shd w:val="clear" w:color="auto" w:fill="FFFFFF"/>
        </w:rPr>
        <w:t>全国宏观月度库、全国宏观年度库、分省宏观月度库、分省宏观年度库、海关月度库、城市年度库、县域年度库、OECD月度库和OECD年度库</w:t>
      </w:r>
      <w:r>
        <w:rPr>
          <w:rFonts w:hint="eastAsia" w:ascii="宋体" w:hAnsi="宋体"/>
          <w:color w:val="000000"/>
          <w:shd w:val="clear" w:color="auto" w:fill="FFFFFF"/>
        </w:rPr>
        <w:t>9个子库。内容涵盖宏观、专题、区域、世界等多个领域，具有内容全面、来源权威、更新及时、序列长久等特点，为宏观经济研究人员节省搜集加工数据的时间，提供全面完备的经济数据支持。</w:t>
      </w:r>
    </w:p>
    <w:p>
      <w:pPr>
        <w:pStyle w:val="2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二、产品价值</w:t>
      </w:r>
    </w:p>
    <w:p>
      <w:pPr>
        <w:spacing w:line="360" w:lineRule="auto"/>
        <w:ind w:firstLine="420" w:firstLineChars="200"/>
        <w:rPr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《中经网统计数据库》是国家信息中心中经网经过二十多年数据资源积累，精心组织开发的经济社会统计数据库群，为政府、高校、金融机构和企业提供全面完备的经济数据支持。</w:t>
      </w:r>
    </w:p>
    <w:p>
      <w:pPr>
        <w:pStyle w:val="2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三、产品优势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/>
          <w:b/>
          <w:color w:val="000000"/>
          <w:shd w:val="clear" w:color="auto" w:fill="FFFFFF"/>
        </w:rPr>
        <w:t>1、内容全面：</w:t>
      </w:r>
      <w:r>
        <w:rPr>
          <w:rFonts w:hint="eastAsia" w:ascii="宋体" w:hAnsi="宋体"/>
          <w:color w:val="000000"/>
          <w:shd w:val="clear" w:color="auto" w:fill="FFFFFF"/>
        </w:rPr>
        <w:t>指标涵盖国民经济各个方面，跟踪国民经济统计指标体系的修订，数据覆盖宏观经济、行业经济、区域经济、世界经济等多个领域。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2</w:t>
      </w:r>
      <w:r>
        <w:rPr>
          <w:rFonts w:hint="eastAsia"/>
          <w:b/>
          <w:color w:val="000000"/>
          <w:shd w:val="clear" w:color="auto" w:fill="FFFFFF"/>
        </w:rPr>
        <w:t>、来源权威：</w:t>
      </w:r>
      <w:r>
        <w:rPr>
          <w:rFonts w:hint="eastAsia" w:ascii="宋体" w:hAnsi="宋体"/>
          <w:color w:val="000000"/>
          <w:shd w:val="clear" w:color="auto" w:fill="FFFFFF"/>
        </w:rPr>
        <w:t>数据均来源于国家统计局、海关总署及地方统计局等官方发布机构，数据权威可靠。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3</w:t>
      </w:r>
      <w:r>
        <w:rPr>
          <w:rFonts w:hint="eastAsia"/>
          <w:b/>
          <w:color w:val="000000"/>
          <w:shd w:val="clear" w:color="auto" w:fill="FFFFFF"/>
        </w:rPr>
        <w:t>、更新及时：</w:t>
      </w:r>
      <w:r>
        <w:rPr>
          <w:rFonts w:hint="eastAsia" w:ascii="宋体" w:hAnsi="宋体"/>
          <w:color w:val="000000"/>
          <w:shd w:val="clear" w:color="auto" w:fill="FFFFFF"/>
        </w:rPr>
        <w:t>第一时间更新统计数据，系统自带更新提示。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4</w:t>
      </w:r>
      <w:r>
        <w:rPr>
          <w:rFonts w:hint="eastAsia" w:ascii="宋体" w:hAnsi="宋体"/>
          <w:b/>
          <w:color w:val="000000"/>
          <w:shd w:val="clear" w:color="auto" w:fill="FFFFFF"/>
        </w:rPr>
        <w:t>、数据准确：</w:t>
      </w:r>
      <w:r>
        <w:rPr>
          <w:rFonts w:hint="eastAsia" w:ascii="宋体" w:hAnsi="宋体"/>
          <w:color w:val="000000"/>
          <w:shd w:val="clear" w:color="auto" w:fill="FFFFFF"/>
        </w:rPr>
        <w:t>从数据甄别、筛选、编码入库到注释说明，专业化的制作流程，深入的指标研究，科学的纠错机制以及专业数据分析最大程度确保入库数据准确可靠。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5</w:t>
      </w:r>
      <w:r>
        <w:rPr>
          <w:rFonts w:hint="eastAsia" w:ascii="宋体" w:hAnsi="宋体"/>
          <w:b/>
          <w:color w:val="000000"/>
          <w:shd w:val="clear" w:color="auto" w:fill="FFFFFF"/>
        </w:rPr>
        <w:t>、序列长久：</w:t>
      </w:r>
      <w:r>
        <w:rPr>
          <w:rFonts w:hint="eastAsia" w:ascii="宋体" w:hAnsi="宋体"/>
          <w:color w:val="000000"/>
          <w:shd w:val="clear" w:color="auto" w:fill="FFFFFF"/>
        </w:rPr>
        <w:t>根据统计制度变化实现指标口径对接科学延展数据长度，最大程度满足研究需求。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6</w:t>
      </w:r>
      <w:r>
        <w:rPr>
          <w:rFonts w:hint="eastAsia" w:ascii="宋体" w:hAnsi="宋体"/>
          <w:b/>
          <w:color w:val="000000"/>
          <w:shd w:val="clear" w:color="auto" w:fill="FFFFFF"/>
        </w:rPr>
        <w:t>、结构清晰：</w:t>
      </w:r>
      <w:r>
        <w:rPr>
          <w:rFonts w:hint="eastAsia" w:ascii="宋体" w:hAnsi="宋体"/>
          <w:color w:val="000000"/>
          <w:shd w:val="clear" w:color="auto" w:fill="FFFFFF"/>
        </w:rPr>
        <w:t>按照指标体系、统计范围和更新频度划分子库。以宏观经济学理论为基础，科学架构数据层次，指标结构清晰，查询方便快捷，是宏观经济分析、决策和研究的有力助手。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b/>
          <w:color w:val="000000"/>
          <w:shd w:val="clear" w:color="auto" w:fill="FFFFFF"/>
        </w:rPr>
        <w:t>7、方式灵活：</w:t>
      </w:r>
      <w:r>
        <w:rPr>
          <w:rFonts w:hint="eastAsia" w:ascii="宋体" w:hAnsi="宋体"/>
          <w:color w:val="000000"/>
          <w:shd w:val="clear" w:color="auto" w:fill="FFFFFF"/>
        </w:rPr>
        <w:t>除标准产品外，可以根据用户需求提供各种个性化定制数据服务。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8</w:t>
      </w:r>
      <w:r>
        <w:rPr>
          <w:rFonts w:hint="eastAsia" w:ascii="宋体" w:hAnsi="宋体"/>
          <w:b/>
          <w:color w:val="000000"/>
          <w:shd w:val="clear" w:color="auto" w:fill="FFFFFF"/>
        </w:rPr>
        <w:t>、响应快速：</w:t>
      </w:r>
      <w:r>
        <w:rPr>
          <w:rFonts w:hint="eastAsia" w:ascii="宋体" w:hAnsi="宋体"/>
          <w:color w:val="000000"/>
          <w:shd w:val="clear" w:color="auto" w:fill="FFFFFF"/>
        </w:rPr>
        <w:t>专业数据分析师确保24小时给予有效答复。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9</w:t>
      </w:r>
      <w:r>
        <w:rPr>
          <w:rFonts w:hint="eastAsia" w:ascii="宋体" w:hAnsi="宋体"/>
          <w:b/>
          <w:color w:val="000000"/>
          <w:shd w:val="clear" w:color="auto" w:fill="FFFFFF"/>
        </w:rPr>
        <w:t>、专业建议：</w:t>
      </w:r>
      <w:r>
        <w:rPr>
          <w:rFonts w:hint="eastAsia" w:ascii="宋体" w:hAnsi="宋体"/>
          <w:color w:val="000000"/>
          <w:shd w:val="clear" w:color="auto" w:fill="FFFFFF"/>
        </w:rPr>
        <w:t>对数据应用提供专家级建议。</w:t>
      </w:r>
    </w:p>
    <w:p>
      <w:pPr>
        <w:spacing w:line="360" w:lineRule="auto"/>
        <w:ind w:firstLine="422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ascii="宋体" w:hAnsi="宋体"/>
          <w:b/>
          <w:color w:val="000000"/>
          <w:shd w:val="clear" w:color="auto" w:fill="FFFFFF"/>
        </w:rPr>
        <w:t>10</w:t>
      </w:r>
      <w:r>
        <w:rPr>
          <w:rFonts w:hint="eastAsia" w:ascii="宋体" w:hAnsi="宋体"/>
          <w:b/>
          <w:color w:val="000000"/>
          <w:shd w:val="clear" w:color="auto" w:fill="FFFFFF"/>
        </w:rPr>
        <w:t>、资深解读：</w:t>
      </w:r>
      <w:r>
        <w:rPr>
          <w:rFonts w:hint="eastAsia" w:ascii="宋体" w:hAnsi="宋体"/>
          <w:color w:val="000000"/>
          <w:shd w:val="clear" w:color="auto" w:fill="FFFFFF"/>
        </w:rPr>
        <w:t>背靠强大专家团队，精准理解指标口径、范围，为用户提供重要概念的注释。</w:t>
      </w:r>
    </w:p>
    <w:p>
      <w:pPr>
        <w:pStyle w:val="2"/>
        <w:spacing w:before="0" w:after="0" w:line="360" w:lineRule="auto"/>
        <w:rPr>
          <w:sz w:val="28"/>
        </w:rPr>
      </w:pPr>
      <w:r>
        <w:rPr>
          <w:rFonts w:hint="eastAsia"/>
          <w:sz w:val="28"/>
        </w:rPr>
        <w:t>四、产品功能</w:t>
      </w:r>
    </w:p>
    <w:p>
      <w:pPr>
        <w:tabs>
          <w:tab w:val="left" w:pos="840"/>
        </w:tabs>
        <w:spacing w:line="360" w:lineRule="auto"/>
        <w:ind w:firstLine="420" w:firstLineChars="20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中经网统计数据库具备指标查询、数据导出、图形展示、分析工具、个人收藏等功能。</w:t>
      </w:r>
    </w:p>
    <w:p>
      <w:pPr>
        <w:pStyle w:val="3"/>
        <w:numPr>
          <w:ilvl w:val="0"/>
          <w:numId w:val="1"/>
        </w:numPr>
        <w:spacing w:before="156" w:after="156" w:line="415" w:lineRule="auto"/>
        <w:rPr>
          <w:rFonts w:ascii="微软雅黑" w:hAnsi="微软雅黑" w:eastAsia="宋体" w:cs="黑体"/>
          <w:bCs w:val="0"/>
          <w:sz w:val="21"/>
          <w:szCs w:val="22"/>
        </w:rPr>
      </w:pPr>
      <w:bookmarkStart w:id="0" w:name="_Toc52293404"/>
      <w:r>
        <w:rPr>
          <w:rFonts w:hint="eastAsia" w:ascii="微软雅黑" w:hAnsi="微软雅黑" w:eastAsia="宋体" w:cs="黑体"/>
          <w:bCs w:val="0"/>
          <w:sz w:val="21"/>
          <w:szCs w:val="22"/>
        </w:rPr>
        <w:t>查询功能</w:t>
      </w:r>
      <w:bookmarkEnd w:id="0"/>
    </w:p>
    <w:p>
      <w:pPr>
        <w:tabs>
          <w:tab w:val="left" w:pos="840"/>
        </w:tabs>
        <w:spacing w:line="360" w:lineRule="auto"/>
        <w:ind w:firstLine="420" w:firstLineChars="20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数据以时间序列的形式展示，可</w:t>
      </w:r>
      <w:r>
        <w:rPr>
          <w:rFonts w:ascii="微软雅黑" w:hAnsi="微软雅黑" w:cs="微软雅黑"/>
          <w:szCs w:val="21"/>
        </w:rPr>
        <w:t>通过</w:t>
      </w:r>
      <w:r>
        <w:rPr>
          <w:rFonts w:hint="eastAsia" w:ascii="微软雅黑" w:hAnsi="微软雅黑" w:cs="微软雅黑"/>
          <w:szCs w:val="21"/>
        </w:rPr>
        <w:t>关键字检索方式查看所需指标。</w:t>
      </w:r>
    </w:p>
    <w:p>
      <w:pPr>
        <w:keepNext/>
        <w:tabs>
          <w:tab w:val="left" w:pos="840"/>
        </w:tabs>
        <w:spacing w:line="360" w:lineRule="auto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5" o:spt="75" type="#_x0000_t75" style="height:209.6pt;width:415.3pt;" fillcolor="#FFFFFF" filled="f" o:preferrelative="t" stroked="f" coordsize="21600,21600">
            <v:path/>
            <v:fill on="f" color2="#FFFFFF" focussize="0,0"/>
            <v:stroke on="f"/>
            <v:imagedata r:id="rId6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ascii="黑体" w:hAnsi="黑体" w:eastAsia="黑体" w:cs="微软雅黑"/>
          <w:szCs w:val="21"/>
        </w:rPr>
      </w:pPr>
      <w:r>
        <w:rPr>
          <w:rFonts w:hint="eastAsia" w:ascii="黑体" w:hAnsi="黑体" w:eastAsia="黑体"/>
        </w:rPr>
        <w:t xml:space="preserve">图 </w:t>
      </w:r>
      <w:r>
        <w:rPr>
          <w:rFonts w:ascii="黑体" w:hAnsi="黑体" w:eastAsia="黑体"/>
        </w:rPr>
        <w:t xml:space="preserve">1 </w:t>
      </w:r>
      <w:r>
        <w:rPr>
          <w:rFonts w:hint="eastAsia" w:ascii="黑体" w:hAnsi="黑体" w:eastAsia="黑体"/>
        </w:rPr>
        <w:t>关键字检索指标</w:t>
      </w:r>
    </w:p>
    <w:p>
      <w:pPr>
        <w:pStyle w:val="3"/>
        <w:numPr>
          <w:ilvl w:val="0"/>
          <w:numId w:val="1"/>
        </w:numPr>
        <w:spacing w:before="156" w:after="156" w:line="415" w:lineRule="auto"/>
        <w:rPr>
          <w:rFonts w:ascii="微软雅黑" w:hAnsi="微软雅黑" w:eastAsia="宋体" w:cs="黑体"/>
          <w:bCs w:val="0"/>
          <w:sz w:val="21"/>
          <w:szCs w:val="22"/>
        </w:rPr>
      </w:pPr>
      <w:bookmarkStart w:id="1" w:name="_Toc52293405"/>
      <w:r>
        <w:rPr>
          <w:rFonts w:hint="eastAsia" w:ascii="微软雅黑" w:hAnsi="微软雅黑" w:eastAsia="宋体" w:cs="黑体"/>
          <w:bCs w:val="0"/>
          <w:sz w:val="21"/>
          <w:szCs w:val="22"/>
        </w:rPr>
        <w:t>数据导出</w:t>
      </w:r>
      <w:bookmarkEnd w:id="1"/>
    </w:p>
    <w:p>
      <w:pPr>
        <w:tabs>
          <w:tab w:val="left" w:pos="840"/>
        </w:tabs>
        <w:spacing w:line="360" w:lineRule="auto"/>
        <w:ind w:firstLine="420" w:firstLineChars="20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系统提供报表导出功能，将数据查询结果导出到本地，保存为excel文件。</w:t>
      </w:r>
    </w:p>
    <w:p>
      <w:pPr>
        <w:keepNext/>
        <w:tabs>
          <w:tab w:val="left" w:pos="840"/>
        </w:tabs>
        <w:spacing w:line="360" w:lineRule="auto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6" o:spt="75" type="#_x0000_t75" style="height:209.05pt;width:415.3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图 </w:t>
      </w:r>
      <w:r>
        <w:rPr>
          <w:rFonts w:ascii="黑体" w:hAnsi="黑体" w:eastAsia="黑体"/>
        </w:rPr>
        <w:t xml:space="preserve">2 </w:t>
      </w:r>
      <w:r>
        <w:rPr>
          <w:rFonts w:hint="eastAsia" w:ascii="黑体" w:hAnsi="黑体" w:eastAsia="黑体"/>
        </w:rPr>
        <w:t>数据</w:t>
      </w:r>
      <w:r>
        <w:rPr>
          <w:rFonts w:ascii="黑体" w:hAnsi="黑体" w:eastAsia="黑体"/>
        </w:rPr>
        <w:t>导出</w:t>
      </w:r>
    </w:p>
    <w:p>
      <w:pPr>
        <w:pStyle w:val="3"/>
        <w:numPr>
          <w:ilvl w:val="0"/>
          <w:numId w:val="1"/>
        </w:numPr>
        <w:spacing w:before="156" w:after="156" w:line="415" w:lineRule="auto"/>
        <w:rPr>
          <w:rFonts w:ascii="微软雅黑" w:hAnsi="微软雅黑" w:eastAsia="宋体" w:cs="黑体"/>
          <w:bCs w:val="0"/>
          <w:sz w:val="21"/>
          <w:szCs w:val="22"/>
        </w:rPr>
      </w:pPr>
      <w:bookmarkStart w:id="2" w:name="_Toc52293406"/>
      <w:r>
        <w:rPr>
          <w:rFonts w:hint="eastAsia" w:ascii="微软雅黑" w:hAnsi="微软雅黑" w:eastAsia="宋体" w:cs="黑体"/>
          <w:bCs w:val="0"/>
          <w:sz w:val="21"/>
          <w:szCs w:val="22"/>
        </w:rPr>
        <w:t>图形</w:t>
      </w:r>
      <w:r>
        <w:rPr>
          <w:rFonts w:ascii="微软雅黑" w:hAnsi="微软雅黑" w:eastAsia="宋体" w:cs="黑体"/>
          <w:bCs w:val="0"/>
          <w:sz w:val="21"/>
          <w:szCs w:val="22"/>
        </w:rPr>
        <w:t>展示</w:t>
      </w:r>
      <w:bookmarkEnd w:id="2"/>
    </w:p>
    <w:p>
      <w:pPr>
        <w:tabs>
          <w:tab w:val="left" w:pos="840"/>
        </w:tabs>
        <w:spacing w:line="360" w:lineRule="auto"/>
        <w:ind w:firstLine="420" w:firstLineChars="200"/>
        <w:rPr>
          <w:rFonts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系统内嵌作图工具，供研究人员直观查看和分析数据趋势，图形类型包括线形图、柱状图、柱线图、饼图，图形可导出。</w:t>
      </w:r>
    </w:p>
    <w:p>
      <w:pPr>
        <w:keepNext/>
        <w:tabs>
          <w:tab w:val="left" w:pos="840"/>
        </w:tabs>
        <w:spacing w:line="360" w:lineRule="auto"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7" o:spt="75" type="#_x0000_t75" style="height:209.6pt;width:415.3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图 </w:t>
      </w:r>
      <w:r>
        <w:rPr>
          <w:rFonts w:ascii="黑体" w:hAnsi="黑体" w:eastAsia="黑体"/>
        </w:rPr>
        <w:t xml:space="preserve">3 </w:t>
      </w:r>
      <w:r>
        <w:rPr>
          <w:rFonts w:hint="eastAsia" w:ascii="黑体" w:hAnsi="黑体" w:eastAsia="黑体"/>
        </w:rPr>
        <w:t>图形展示</w:t>
      </w:r>
    </w:p>
    <w:p>
      <w:pPr>
        <w:pStyle w:val="3"/>
        <w:numPr>
          <w:ilvl w:val="0"/>
          <w:numId w:val="1"/>
        </w:numPr>
        <w:spacing w:before="156" w:after="156" w:line="415" w:lineRule="auto"/>
        <w:rPr>
          <w:rFonts w:ascii="微软雅黑" w:hAnsi="微软雅黑" w:eastAsia="宋体" w:cs="黑体"/>
          <w:bCs w:val="0"/>
          <w:sz w:val="21"/>
          <w:szCs w:val="22"/>
        </w:rPr>
      </w:pPr>
      <w:bookmarkStart w:id="3" w:name="_Toc52293407"/>
      <w:r>
        <w:rPr>
          <w:rFonts w:hint="eastAsia" w:ascii="微软雅黑" w:hAnsi="微软雅黑" w:eastAsia="宋体" w:cs="黑体"/>
          <w:bCs w:val="0"/>
          <w:sz w:val="21"/>
          <w:szCs w:val="22"/>
        </w:rPr>
        <w:t>分析工具</w:t>
      </w:r>
      <w:bookmarkEnd w:id="3"/>
    </w:p>
    <w:p>
      <w:pPr>
        <w:spacing w:line="360" w:lineRule="auto"/>
        <w:ind w:firstLine="420" w:firstLineChars="200"/>
      </w:pPr>
      <w:r>
        <w:rPr>
          <w:rFonts w:hint="eastAsia"/>
        </w:rPr>
        <w:t>点击</w:t>
      </w:r>
      <w:r>
        <w:t>数据采集</w:t>
      </w:r>
      <w:r>
        <w:rPr>
          <w:rFonts w:hint="eastAsia"/>
        </w:rPr>
        <w:t>按钮即可</w:t>
      </w:r>
      <w:r>
        <w:t>将数据</w:t>
      </w:r>
      <w:r>
        <w:rPr>
          <w:rFonts w:hint="eastAsia"/>
        </w:rPr>
        <w:t>采集至</w:t>
      </w:r>
      <w:r>
        <w:t>分析工具，</w:t>
      </w:r>
      <w:r>
        <w:rPr>
          <w:rFonts w:hint="eastAsia"/>
        </w:rPr>
        <w:t>分析工具提供数据库导入、统计分析、建模预测和可视化展现等功能。不仅可</w:t>
      </w:r>
      <w:r>
        <w:t>以</w:t>
      </w:r>
      <w:r>
        <w:rPr>
          <w:rFonts w:hint="eastAsia"/>
        </w:rPr>
        <w:t>直接采集中经网统计数据库中的序列，还可将产品内部序列与用户自有序列相融合，直接在分析工具中完成数据整理，加工，计算等操作。</w:t>
      </w:r>
    </w:p>
    <w:p>
      <w:pPr>
        <w:keepNext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8" o:spt="75" type="#_x0000_t75" style="height:90.7pt;width:415.3pt;" fillcolor="#FFFFFF" filled="f" o:preferrelative="t" stroked="f" coordsize="21600,21600">
            <v:path/>
            <v:fill on="f" color2="#FFFFFF" focussize="0,0"/>
            <v:stroke on="f"/>
            <v:imagedata r:id="rId9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图 </w:t>
      </w:r>
      <w:r>
        <w:rPr>
          <w:rFonts w:ascii="黑体" w:hAnsi="黑体" w:eastAsia="黑体"/>
        </w:rPr>
        <w:t xml:space="preserve">4 </w:t>
      </w:r>
      <w:r>
        <w:rPr>
          <w:rFonts w:hint="eastAsia" w:ascii="黑体" w:hAnsi="黑体" w:eastAsia="黑体"/>
        </w:rPr>
        <w:t>数据</w:t>
      </w:r>
      <w:r>
        <w:rPr>
          <w:rFonts w:ascii="黑体" w:hAnsi="黑体" w:eastAsia="黑体"/>
        </w:rPr>
        <w:t>采集</w:t>
      </w:r>
    </w:p>
    <w:p>
      <w:pPr>
        <w:keepNext/>
      </w:pPr>
      <w:r>
        <w:rPr>
          <w:rFonts w:ascii="Calibri" w:hAnsi="Calibri" w:eastAsia="宋体" w:cs="黑体"/>
          <w:kern w:val="2"/>
          <w:sz w:val="21"/>
          <w:szCs w:val="22"/>
          <w:lang w:val="en-US" w:eastAsia="zh-CN" w:bidi="ar-SA"/>
        </w:rPr>
        <w:pict>
          <v:shape id="_x0000_i1029" o:spt="75" type="#_x0000_t75" style="height:164.25pt;width:415.3pt;" fillcolor="#FFFFFF" filled="f" o:preferrelative="t" stroked="f" coordsize="21600,21600">
            <v:path/>
            <v:fill on="f" color2="#FFFFFF" focussize="0,0"/>
            <v:stroke on="f"/>
            <v:imagedata r:id="rId10" cropbottom="14289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5"/>
        <w:rPr>
          <w:rFonts w:ascii="黑体" w:hAnsi="黑体" w:eastAsia="黑体"/>
        </w:rPr>
      </w:pPr>
      <w:r>
        <w:rPr>
          <w:rFonts w:hint="eastAsia" w:ascii="黑体" w:hAnsi="黑体" w:eastAsia="黑体"/>
        </w:rPr>
        <w:t xml:space="preserve">图 </w:t>
      </w:r>
      <w:r>
        <w:rPr>
          <w:rFonts w:ascii="黑体" w:hAnsi="黑体" w:eastAsia="黑体"/>
        </w:rPr>
        <w:t xml:space="preserve">5 </w:t>
      </w:r>
      <w:r>
        <w:rPr>
          <w:rFonts w:hint="eastAsia" w:ascii="黑体" w:hAnsi="黑体" w:eastAsia="黑体"/>
        </w:rPr>
        <w:t>分析工具</w:t>
      </w:r>
    </w:p>
    <w:p>
      <w:pPr>
        <w:pStyle w:val="2"/>
        <w:spacing w:before="0" w:after="0" w:line="360" w:lineRule="auto"/>
        <w:rPr>
          <w:sz w:val="28"/>
        </w:rPr>
      </w:pPr>
      <w:bookmarkStart w:id="28" w:name="_GoBack"/>
      <w:bookmarkEnd w:id="28"/>
      <w:r>
        <w:rPr>
          <w:rFonts w:hint="eastAsia"/>
          <w:sz w:val="28"/>
        </w:rPr>
        <w:t>五、内容介绍</w:t>
      </w:r>
    </w:p>
    <w:p>
      <w:pPr>
        <w:pStyle w:val="3"/>
        <w:numPr>
          <w:ilvl w:val="0"/>
          <w:numId w:val="2"/>
        </w:numPr>
        <w:spacing w:before="156" w:after="156" w:line="415" w:lineRule="auto"/>
        <w:ind w:left="562"/>
        <w:rPr>
          <w:rFonts w:ascii="微软雅黑" w:hAnsi="微软雅黑" w:eastAsia="宋体" w:cs="黑体"/>
          <w:bCs w:val="0"/>
          <w:sz w:val="21"/>
          <w:szCs w:val="22"/>
        </w:rPr>
      </w:pPr>
      <w:bookmarkStart w:id="4" w:name="_Toc424560317"/>
      <w:bookmarkStart w:id="5" w:name="_Toc25329390"/>
      <w:bookmarkStart w:id="6" w:name="_Toc454278121"/>
      <w:r>
        <w:rPr>
          <w:rFonts w:hint="eastAsia" w:ascii="微软雅黑" w:hAnsi="微软雅黑" w:eastAsia="宋体" w:cs="黑体"/>
          <w:bCs w:val="0"/>
          <w:sz w:val="21"/>
          <w:szCs w:val="22"/>
        </w:rPr>
        <w:t>全国宏观月度库</w:t>
      </w:r>
      <w:bookmarkEnd w:id="4"/>
      <w:bookmarkEnd w:id="5"/>
      <w:bookmarkEnd w:id="6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由国家统计局及各个部委统计的权威数据组成，及时准确的提供从1990年以来反映宏观经济整体运行态势的月度和季度统计数据。内容涵盖国民经济核算、投资、财政、金融、贸易、交通、物价等近20余个专题，充分满足研究人员对宏观数据研究分析的需求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（1）地区维度：全国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（2）数据频度：月度、季度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（3）数据来源：国家统计局、海关总署、财政部、中国人民银行、工信部、交通运输部、国家能源局、银保监会</w:t>
      </w:r>
      <w:r>
        <w:rPr>
          <w:rFonts w:ascii="宋体" w:hAnsi="宋体"/>
          <w:color w:val="000000"/>
          <w:shd w:val="clear" w:color="auto" w:fill="FFFFFF"/>
        </w:rPr>
        <w:t>、</w:t>
      </w:r>
      <w:r>
        <w:rPr>
          <w:rFonts w:hint="eastAsia" w:ascii="宋体" w:hAnsi="宋体"/>
          <w:color w:val="000000"/>
          <w:shd w:val="clear" w:color="auto" w:fill="FFFFFF"/>
        </w:rPr>
        <w:t>证监会等权威数据发布机构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 xml:space="preserve">表 </w:t>
      </w:r>
      <w:r>
        <w:rPr>
          <w:rFonts w:hint="eastAsia" w:ascii="宋体" w:hAnsi="宋体" w:eastAsia="宋体" w:cs="黑体"/>
          <w:sz w:val="21"/>
          <w:szCs w:val="21"/>
        </w:rPr>
        <w:fldChar w:fldCharType="begin"/>
      </w:r>
      <w:r>
        <w:rPr>
          <w:rFonts w:hint="eastAsia" w:ascii="宋体" w:hAnsi="宋体" w:eastAsia="宋体" w:cs="黑体"/>
          <w:sz w:val="21"/>
          <w:szCs w:val="21"/>
        </w:rPr>
        <w:instrText xml:space="preserve"> SEQ 表 \* ARABIC </w:instrText>
      </w:r>
      <w:r>
        <w:rPr>
          <w:rFonts w:hint="eastAsia" w:ascii="宋体" w:hAnsi="宋体" w:eastAsia="宋体" w:cs="黑体"/>
          <w:sz w:val="21"/>
          <w:szCs w:val="21"/>
        </w:rPr>
        <w:fldChar w:fldCharType="separate"/>
      </w:r>
      <w:r>
        <w:rPr>
          <w:rFonts w:hint="eastAsia" w:ascii="宋体" w:hAnsi="宋体" w:eastAsia="宋体" w:cs="黑体"/>
          <w:sz w:val="21"/>
          <w:szCs w:val="21"/>
        </w:rPr>
        <w:t>1</w:t>
      </w:r>
      <w:r>
        <w:rPr>
          <w:rFonts w:hint="eastAsia" w:ascii="宋体" w:hAnsi="宋体" w:eastAsia="宋体" w:cs="黑体"/>
          <w:sz w:val="21"/>
          <w:szCs w:val="21"/>
        </w:rPr>
        <w:fldChar w:fldCharType="end"/>
      </w:r>
      <w:r>
        <w:rPr>
          <w:rFonts w:hint="eastAsia" w:ascii="宋体" w:hAnsi="宋体" w:eastAsia="宋体" w:cs="黑体"/>
          <w:sz w:val="21"/>
          <w:szCs w:val="21"/>
        </w:rPr>
        <w:t xml:space="preserve"> 《全国宏观月度库》指标架构</w:t>
      </w:r>
    </w:p>
    <w:tbl>
      <w:tblPr>
        <w:tblStyle w:val="13"/>
        <w:tblW w:w="8220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0"/>
        <w:gridCol w:w="6080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 w:hRule="atLeast"/>
          <w:jc w:val="center"/>
        </w:trPr>
        <w:tc>
          <w:tcPr>
            <w:tcW w:w="214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608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14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国民经济核算</w:t>
            </w:r>
          </w:p>
        </w:tc>
        <w:tc>
          <w:tcPr>
            <w:tcW w:w="608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国内生产总值、国际收支情况等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投资完成情况、投资资金来源、项目建设情况、房屋建筑面积等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国内贸易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社会消费品零售总额、限额以上企业商品零售类值等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对外贸易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进出口贸易总值、按贸易方式分进出口额、重点商品进出口量值、进出口商品贸易指数、利用外资情况等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物价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CPI、RPI、PPI、农业和农产品价格指数、工业生产者购进价格指数、固定资产投资价格指数等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就业与工资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就业人员及工资情况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人民生活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居民人均收支、城镇居民人均收支、农村居民人均收支等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国家财政收支预算数、中央政府月度收支及融资、政府性基金预算支出等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金融保险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货币供应量、金融机构信贷收支情况、外汇储备、证券市场情况、银行间同业拆借、金融景气、保险业保费收入等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经济景气指数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宏观经济景气指数、制造业采购经理指数、经济学家信心指数、银行家信心指数等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农业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农、林、牧、渔业总产值等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工业增加值、经济效益、产品产量、产销率等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建筑业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建筑业生产与经营情况、房屋建筑面积与价值情况等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能源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石油、天然气、煤炭、电力等能源产品产量情况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房地产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开发投资额、实际到位资金、房屋建设及销售情况等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交通运输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客、货运输情况等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邮电通信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邮政业务、电信业务及软件业务等情况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旅游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旅游人数及收入情况等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214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科技</w:t>
            </w:r>
          </w:p>
        </w:tc>
        <w:tc>
          <w:tcPr>
            <w:tcW w:w="60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专利申请受理数、专利申请授权数情况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bookmarkStart w:id="7" w:name="_Toc454278122"/>
      <w:bookmarkStart w:id="8" w:name="_Toc424560320"/>
      <w:r>
        <w:rPr>
          <w:rFonts w:hint="eastAsia" w:ascii="宋体" w:hAnsi="宋体"/>
          <w:sz w:val="18"/>
          <w:szCs w:val="18"/>
        </w:rPr>
        <w:t>注：具体</w:t>
      </w:r>
      <w:r>
        <w:rPr>
          <w:rFonts w:ascii="宋体" w:hAnsi="宋体"/>
          <w:sz w:val="18"/>
          <w:szCs w:val="18"/>
        </w:rPr>
        <w:t>指标以实际</w:t>
      </w:r>
      <w:r>
        <w:rPr>
          <w:rFonts w:hint="eastAsia" w:ascii="宋体" w:hAnsi="宋体"/>
          <w:sz w:val="18"/>
          <w:szCs w:val="18"/>
        </w:rPr>
        <w:t>提供情况</w:t>
      </w:r>
      <w:r>
        <w:rPr>
          <w:rFonts w:ascii="宋体" w:hAnsi="宋体"/>
          <w:sz w:val="18"/>
          <w:szCs w:val="18"/>
        </w:rPr>
        <w:t>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bookmarkStart w:id="9" w:name="_Toc25329391"/>
      <w:r>
        <w:rPr>
          <w:rFonts w:hint="eastAsia"/>
          <w:sz w:val="21"/>
        </w:rPr>
        <w:t>全国宏观年度库</w:t>
      </w:r>
      <w:bookmarkEnd w:id="7"/>
      <w:bookmarkEnd w:id="8"/>
      <w:bookmarkEnd w:id="9"/>
    </w:p>
    <w:p>
      <w:pPr>
        <w:spacing w:line="360" w:lineRule="auto"/>
        <w:ind w:firstLine="420" w:firstLineChars="200"/>
      </w:pPr>
      <w:r>
        <w:rPr>
          <w:rFonts w:hint="eastAsia"/>
        </w:rPr>
        <w:t>按照统计指标科学体系分类，全面反映自1949年以来国民经济和社会发展的宏观年度经济指标，内容涉及国民经济核算、人口、就业、投资、财政、金融、城市建设、人民生活、环境保护、农业、工业、建筑业、运输邮电、内外贸易、教育科技、能源等近30个专题。为用户准确提供描述中国宏观经济全貌的年度统计数据，是进行宏观经济研究的必备参考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（1）地区维度：全国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（2）数据频度：年度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</w:t>
      </w:r>
      <w:r>
        <w:rPr>
          <w:rFonts w:ascii="宋体" w:hAnsi="宋体"/>
          <w:color w:val="000000"/>
          <w:shd w:val="clear" w:color="auto" w:fill="FFFFFF"/>
        </w:rPr>
        <w:t>、</w:t>
      </w:r>
      <w:r>
        <w:rPr>
          <w:rFonts w:hint="eastAsia" w:ascii="宋体" w:hAnsi="宋体"/>
          <w:color w:val="000000"/>
          <w:shd w:val="clear" w:color="auto" w:fill="FFFFFF"/>
        </w:rPr>
        <w:t>海关</w:t>
      </w:r>
      <w:r>
        <w:rPr>
          <w:rFonts w:ascii="宋体" w:hAnsi="宋体"/>
          <w:color w:val="000000"/>
          <w:shd w:val="clear" w:color="auto" w:fill="FFFFFF"/>
        </w:rPr>
        <w:t>总署、</w:t>
      </w:r>
      <w:r>
        <w:rPr>
          <w:rFonts w:hint="eastAsia" w:ascii="宋体" w:hAnsi="宋体"/>
          <w:color w:val="000000"/>
          <w:shd w:val="clear" w:color="auto" w:fill="FFFFFF"/>
        </w:rPr>
        <w:t>中国</w:t>
      </w:r>
      <w:r>
        <w:rPr>
          <w:rFonts w:ascii="宋体" w:hAnsi="宋体"/>
          <w:color w:val="000000"/>
          <w:shd w:val="clear" w:color="auto" w:fill="FFFFFF"/>
        </w:rPr>
        <w:t>人民银行、</w:t>
      </w:r>
      <w:r>
        <w:rPr>
          <w:rFonts w:hint="eastAsia" w:ascii="宋体" w:hAnsi="宋体"/>
          <w:color w:val="000000"/>
          <w:shd w:val="clear" w:color="auto" w:fill="FFFFFF"/>
        </w:rPr>
        <w:t>财政部</w:t>
      </w:r>
      <w:r>
        <w:rPr>
          <w:rFonts w:ascii="宋体" w:hAnsi="宋体"/>
          <w:color w:val="000000"/>
          <w:shd w:val="clear" w:color="auto" w:fill="FFFFFF"/>
        </w:rPr>
        <w:t>、</w:t>
      </w:r>
      <w:r>
        <w:rPr>
          <w:rFonts w:hint="eastAsia" w:ascii="宋体" w:hAnsi="宋体"/>
          <w:color w:val="000000"/>
          <w:shd w:val="clear" w:color="auto" w:fill="FFFFFF"/>
        </w:rPr>
        <w:t>自然资源部、交通</w:t>
      </w:r>
      <w:r>
        <w:rPr>
          <w:rFonts w:ascii="宋体" w:hAnsi="宋体"/>
          <w:color w:val="000000"/>
          <w:shd w:val="clear" w:color="auto" w:fill="FFFFFF"/>
        </w:rPr>
        <w:t>运输部</w:t>
      </w:r>
      <w:r>
        <w:rPr>
          <w:rFonts w:hint="eastAsia" w:ascii="宋体" w:hAnsi="宋体"/>
          <w:color w:val="000000"/>
          <w:shd w:val="clear" w:color="auto" w:fill="FFFFFF"/>
        </w:rPr>
        <w:t>、</w:t>
      </w:r>
      <w:r>
        <w:rPr>
          <w:rFonts w:ascii="宋体" w:hAnsi="宋体"/>
          <w:color w:val="000000"/>
          <w:shd w:val="clear" w:color="auto" w:fill="FFFFFF"/>
        </w:rPr>
        <w:t>农业农村部、</w:t>
      </w:r>
      <w:r>
        <w:rPr>
          <w:rFonts w:hint="eastAsia" w:ascii="宋体" w:hAnsi="宋体"/>
          <w:color w:val="000000"/>
          <w:shd w:val="clear" w:color="auto" w:fill="FFFFFF"/>
        </w:rPr>
        <w:t>国家</w:t>
      </w:r>
      <w:r>
        <w:rPr>
          <w:rFonts w:ascii="宋体" w:hAnsi="宋体"/>
          <w:color w:val="000000"/>
          <w:shd w:val="clear" w:color="auto" w:fill="FFFFFF"/>
        </w:rPr>
        <w:t>能源局、</w:t>
      </w:r>
      <w:r>
        <w:rPr>
          <w:rFonts w:hint="eastAsia" w:ascii="宋体" w:hAnsi="宋体"/>
          <w:color w:val="000000"/>
          <w:shd w:val="clear" w:color="auto" w:fill="FFFFFF"/>
        </w:rPr>
        <w:t>教育部、</w:t>
      </w:r>
      <w:r>
        <w:rPr>
          <w:rFonts w:ascii="宋体" w:hAnsi="宋体"/>
          <w:color w:val="000000"/>
          <w:shd w:val="clear" w:color="auto" w:fill="FFFFFF"/>
        </w:rPr>
        <w:t>文化和旅游部</w:t>
      </w:r>
      <w:r>
        <w:rPr>
          <w:rFonts w:hint="eastAsia" w:ascii="宋体" w:hAnsi="宋体"/>
          <w:color w:val="000000"/>
          <w:shd w:val="clear" w:color="auto" w:fill="FFFFFF"/>
        </w:rPr>
        <w:t>等权威数据发布机构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2 《全国宏观年度库》指标架构</w:t>
      </w:r>
    </w:p>
    <w:tbl>
      <w:tblPr>
        <w:tblStyle w:val="13"/>
        <w:tblW w:w="8232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6112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212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6112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  <w:jc w:val="center"/>
        </w:trPr>
        <w:tc>
          <w:tcPr>
            <w:tcW w:w="212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国民经济核算</w:t>
            </w:r>
          </w:p>
        </w:tc>
        <w:tc>
          <w:tcPr>
            <w:tcW w:w="6112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国内生产总值、分行业增加值、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资金流量表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及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国际收支平衡表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固定资产投资额、房屋建筑面积及价值等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社会消费品零售总额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社会消费品零售总额情况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对外经济贸易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进出口贸易、利用外资、对外经济合作情况等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价格指数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CPI、RPI、PPI、固定资产投资价格指数、进出口商品价格指数等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国家财政收支决算数、债务情况、全国政府性基金收支情况等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金融和保险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货币供应量、金融机构信贷收支、股票市场、保险机构及人员数、保险业务收支、保险公司业务情况等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农业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农业生产条件、农产品产量、农田水利建设、生产情况等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产品产量、产值情况、工业企业经营、财务情况等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建筑业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建筑业企业主要经济指标、财务指标、勘察设计机构、建设工程监理企业情况等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人口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人口数、人口自然变动、人口年龄结构情况等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就业人员和工资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就业基本情况、就业人员数、劳动报酬等情况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人民生活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城镇及农村家庭基本情况、住房情况等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城乡建设和行政区划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城乡自来水、燃气、市政工程设施、公共交通、公共卫生建设等情况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自然资源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土地、矿产、水资源、森林资源情况等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环境保护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主要污染物排放及治理情况、自然灾害情况、环境污染情况等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能源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能源生产、能源消费等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交通运输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客货运输情况、运输装备情况等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邮电和软件业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邮电业综合情况、业务量、互联网主要指标发展情况等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旅游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旅游发展情况、旅游人数、收入及花费等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房地产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房地产开发主要经济指标、投资规模及完成情况、房屋施工竣工情况等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批发和零售业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基本情况、经济效益、交易市场情况等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住宿和餐饮业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基本情况、经济效益等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各级各类学校情况、学生数、升学率等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科技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研究与试验发展（R&amp;D）活动情况、创新活动开展情况、国内外专利申请和授权情况、高技术企业生产及研发活动情况等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文化体育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文化、体育事业基本情况、发展状况等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卫生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卫生机构、人员情况等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社会服务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社会救助、婚姻服务、社会组织等情况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jc w:val="left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公共管理和社会保障</w:t>
            </w:r>
          </w:p>
        </w:tc>
        <w:tc>
          <w:tcPr>
            <w:tcW w:w="61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交通事故、律师、社会保障情况等</w:t>
            </w:r>
          </w:p>
        </w:tc>
      </w:tr>
    </w:tbl>
    <w:p>
      <w:pPr>
        <w:spacing w:line="360" w:lineRule="auto"/>
        <w:rPr>
          <w:rFonts w:ascii="宋体" w:hAnsi="宋体"/>
          <w:b/>
          <w:sz w:val="18"/>
          <w:szCs w:val="18"/>
        </w:rPr>
      </w:pPr>
      <w:bookmarkStart w:id="10" w:name="_Toc424560319"/>
      <w:bookmarkStart w:id="11" w:name="_Toc454278123"/>
      <w:bookmarkStart w:id="12" w:name="_Toc424560321"/>
      <w:r>
        <w:rPr>
          <w:rFonts w:hint="eastAsia" w:ascii="宋体" w:hAnsi="宋体"/>
          <w:sz w:val="18"/>
          <w:szCs w:val="18"/>
        </w:rPr>
        <w:t>注：具体</w:t>
      </w:r>
      <w:r>
        <w:rPr>
          <w:rFonts w:ascii="宋体" w:hAnsi="宋体"/>
          <w:sz w:val="18"/>
          <w:szCs w:val="18"/>
        </w:rPr>
        <w:t>指标以</w:t>
      </w:r>
      <w:r>
        <w:rPr>
          <w:rFonts w:hint="eastAsia" w:ascii="宋体" w:hAnsi="宋体"/>
          <w:sz w:val="18"/>
          <w:szCs w:val="18"/>
        </w:rPr>
        <w:t>实际提供</w:t>
      </w:r>
      <w:r>
        <w:rPr>
          <w:rFonts w:ascii="宋体" w:hAnsi="宋体"/>
          <w:sz w:val="18"/>
          <w:szCs w:val="18"/>
        </w:rPr>
        <w:t>情况为准</w:t>
      </w:r>
    </w:p>
    <w:bookmarkEnd w:id="10"/>
    <w:bookmarkEnd w:id="11"/>
    <w:bookmarkEnd w:id="12"/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bookmarkStart w:id="13" w:name="_Toc454278124"/>
      <w:bookmarkStart w:id="14" w:name="_Toc25329393"/>
      <w:bookmarkStart w:id="15" w:name="_Toc454278125"/>
      <w:bookmarkStart w:id="16" w:name="_Toc424560322"/>
      <w:r>
        <w:rPr>
          <w:rFonts w:hint="eastAsia"/>
          <w:sz w:val="21"/>
        </w:rPr>
        <w:t>分省宏观月度库</w:t>
      </w:r>
      <w:bookmarkEnd w:id="13"/>
      <w:bookmarkEnd w:id="14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包括31个省区市的月度宏观经济效益指标。涵盖地区生产总值、建筑业、运输邮电、固定资产投资、国内贸易、进出口、价格、金融、人民生活、就业等多个专题，便于用户进行月度区域间经济比较分析。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（1）地区维度：31个省区市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</w:t>
      </w:r>
      <w:r>
        <w:rPr>
          <w:rFonts w:hint="eastAsia"/>
        </w:rPr>
        <w:t>月度、季度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（3）数据来源：国家统计局、海关总署、财政部、交通运输部、中国人民银行、银保监会、证监会等权威数据发布机构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3 《分省宏观月度库》指标架构</w:t>
      </w:r>
    </w:p>
    <w:tbl>
      <w:tblPr>
        <w:tblStyle w:val="13"/>
        <w:tblW w:w="8340" w:type="dxa"/>
        <w:tblInd w:w="98" w:type="dxa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11"/>
        <w:gridCol w:w="6129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2211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6129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2211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地区生产总值</w:t>
            </w:r>
          </w:p>
        </w:tc>
        <w:tc>
          <w:tcPr>
            <w:tcW w:w="6129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地区生产总值情况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固定资产投资额、投资项目情况、房屋建筑面积等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国内贸易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社会消费品零售总额情况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对外贸易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以美元和人民币计价的进出口情况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物价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C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PI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RPI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、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PPI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地方一般公共预算收支情况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金融机构信贷收支等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保险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保险业收入情况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农业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农、林、牧、渔业总产值情况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反映工业企业生产、经济效益、产品产量等指标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建筑业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建筑业企业生产、经营及房屋建筑面积等情况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人民生活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居民收支情况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能源生产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原煤、原油、天然气等产品产量及发电量情况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房地产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房地产开发实际到位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资金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、投资完成情况及房屋建筑与销售情况等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运输邮电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运输、邮电、软件以及快递业务的发展状况指标等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1" w:hRule="atLeast"/>
        </w:trPr>
        <w:tc>
          <w:tcPr>
            <w:tcW w:w="2211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社会服务</w:t>
            </w:r>
          </w:p>
        </w:tc>
        <w:tc>
          <w:tcPr>
            <w:tcW w:w="6129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居民最低生活保障人数及标准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bookmarkStart w:id="17" w:name="_Toc25329394"/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r>
        <w:rPr>
          <w:rFonts w:hint="eastAsia"/>
          <w:sz w:val="21"/>
        </w:rPr>
        <w:t>分省宏观年度库</w:t>
      </w:r>
      <w:bookmarkEnd w:id="15"/>
      <w:bookmarkEnd w:id="16"/>
      <w:bookmarkEnd w:id="17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31个省区市的年度宏观经济效益指标，涵盖国民经济核算、人口就业、固定资产投资、能源、财政、价格、人民生活、城市概况、资源环境、农业、工业、建筑业、运输和邮电、批发和零售等近30个专题的序列，便于年度区域间经济比较分析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（1）地区维度：31个省区市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（2）数据频度：年度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</w:t>
      </w:r>
      <w:r>
        <w:rPr>
          <w:rFonts w:ascii="宋体" w:hAnsi="宋体"/>
          <w:color w:val="000000"/>
          <w:shd w:val="clear" w:color="auto" w:fill="FFFFFF"/>
        </w:rPr>
        <w:t>、</w:t>
      </w:r>
      <w:r>
        <w:rPr>
          <w:rFonts w:hint="eastAsia" w:ascii="宋体" w:hAnsi="宋体"/>
          <w:color w:val="000000"/>
          <w:shd w:val="clear" w:color="auto" w:fill="FFFFFF"/>
        </w:rPr>
        <w:t>海关</w:t>
      </w:r>
      <w:r>
        <w:rPr>
          <w:rFonts w:ascii="宋体" w:hAnsi="宋体"/>
          <w:color w:val="000000"/>
          <w:shd w:val="clear" w:color="auto" w:fill="FFFFFF"/>
        </w:rPr>
        <w:t>总署、</w:t>
      </w:r>
      <w:r>
        <w:rPr>
          <w:rFonts w:hint="eastAsia" w:ascii="宋体" w:hAnsi="宋体"/>
          <w:color w:val="000000"/>
          <w:shd w:val="clear" w:color="auto" w:fill="FFFFFF"/>
        </w:rPr>
        <w:t>财政部</w:t>
      </w:r>
      <w:r>
        <w:rPr>
          <w:rFonts w:ascii="宋体" w:hAnsi="宋体"/>
          <w:color w:val="000000"/>
          <w:shd w:val="clear" w:color="auto" w:fill="FFFFFF"/>
        </w:rPr>
        <w:t>、</w:t>
      </w:r>
      <w:r>
        <w:rPr>
          <w:rFonts w:hint="eastAsia" w:ascii="宋体" w:hAnsi="宋体"/>
          <w:color w:val="000000"/>
          <w:shd w:val="clear" w:color="auto" w:fill="FFFFFF"/>
        </w:rPr>
        <w:t>自然资源部、交通</w:t>
      </w:r>
      <w:r>
        <w:rPr>
          <w:rFonts w:ascii="宋体" w:hAnsi="宋体"/>
          <w:color w:val="000000"/>
          <w:shd w:val="clear" w:color="auto" w:fill="FFFFFF"/>
        </w:rPr>
        <w:t>运输部</w:t>
      </w:r>
      <w:r>
        <w:rPr>
          <w:rFonts w:hint="eastAsia" w:ascii="宋体" w:hAnsi="宋体"/>
          <w:color w:val="000000"/>
          <w:shd w:val="clear" w:color="auto" w:fill="FFFFFF"/>
        </w:rPr>
        <w:t>、</w:t>
      </w:r>
      <w:r>
        <w:rPr>
          <w:rFonts w:ascii="宋体" w:hAnsi="宋体"/>
          <w:color w:val="000000"/>
          <w:shd w:val="clear" w:color="auto" w:fill="FFFFFF"/>
        </w:rPr>
        <w:t>农业农村部、</w:t>
      </w:r>
      <w:r>
        <w:rPr>
          <w:rFonts w:hint="eastAsia" w:ascii="宋体" w:hAnsi="宋体"/>
          <w:color w:val="000000"/>
          <w:shd w:val="clear" w:color="auto" w:fill="FFFFFF"/>
        </w:rPr>
        <w:t>国家</w:t>
      </w:r>
      <w:r>
        <w:rPr>
          <w:rFonts w:ascii="宋体" w:hAnsi="宋体"/>
          <w:color w:val="000000"/>
          <w:shd w:val="clear" w:color="auto" w:fill="FFFFFF"/>
        </w:rPr>
        <w:t>能源局、</w:t>
      </w:r>
      <w:r>
        <w:rPr>
          <w:rFonts w:hint="eastAsia" w:ascii="宋体" w:hAnsi="宋体"/>
          <w:color w:val="000000"/>
          <w:shd w:val="clear" w:color="auto" w:fill="FFFFFF"/>
        </w:rPr>
        <w:t>教育部、</w:t>
      </w:r>
      <w:r>
        <w:rPr>
          <w:rFonts w:ascii="宋体" w:hAnsi="宋体"/>
          <w:color w:val="000000"/>
          <w:shd w:val="clear" w:color="auto" w:fill="FFFFFF"/>
        </w:rPr>
        <w:t>文化和旅游部</w:t>
      </w:r>
      <w:r>
        <w:rPr>
          <w:rFonts w:hint="eastAsia" w:ascii="宋体" w:hAnsi="宋体"/>
          <w:color w:val="000000"/>
          <w:shd w:val="clear" w:color="auto" w:fill="FFFFFF"/>
        </w:rPr>
        <w:t>等权威数据发布机构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4 《分省宏观年度库》指标架构</w:t>
      </w:r>
    </w:p>
    <w:tbl>
      <w:tblPr>
        <w:tblStyle w:val="13"/>
        <w:tblW w:w="8000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5880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2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588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  <w:jc w:val="center"/>
        </w:trPr>
        <w:tc>
          <w:tcPr>
            <w:tcW w:w="212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国民经济核算</w:t>
            </w:r>
          </w:p>
        </w:tc>
        <w:tc>
          <w:tcPr>
            <w:tcW w:w="588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地区生产总值和居民消费水平等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固定资产投资额、房屋施工、竣工面积等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社会消费品零售总额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Cs/>
                <w:color w:val="000000"/>
                <w:kern w:val="0"/>
                <w:szCs w:val="21"/>
              </w:rPr>
              <w:t>社会消费品零售总额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对外经济贸易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Cs/>
                <w:color w:val="000000"/>
                <w:kern w:val="0"/>
                <w:szCs w:val="21"/>
              </w:rPr>
              <w:t>进出口额、外商投资企业注册登记情况等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价格指数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CPI、RPI、PPI等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地方一般公共预算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收支情况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保险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保费收入及赔付支出情况等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农业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农、林、牧、渔业情况等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反映工业企业生产、资产负债、成本收益、经济效益、工业产品产量等指标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建筑业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建筑行业整体情况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人口与就业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人口数量及变动、就业及失业情况等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人民生活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城镇及农村居民收入与支出情况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城乡建设和行政区划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城市自来水、燃气、市政设施、公共交通、环境卫生和行政区划情况等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资源和环境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主要能源基础储量、水环境、大气环境、生态环境及自然保护区情况等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能源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能源消费情况等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交通运输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铁路、公路、水路及民航等情况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邮电和软件业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邮电事业及互联网、软件业发展状况指标等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房地产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房地产开发投资实际到位资金、投资完成情况、商品房建筑与销售情况及房地产开发企业经营情况等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批发和零售业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批发和零售业基本情况、经济效益情况等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住宿和餐饮业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住宿和餐饮业基本情况、经济效益情况等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旅游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 xml:space="preserve">旅游人数及收入情况等 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各类学校、教师、学生、升学率情况等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科学技术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R&amp;D活动及专利申请授权等情况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1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卫生和社会服务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医疗卫生、社会服务机构和人员情况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文化和体育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文化机构、出版物、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体育事业发展</w:t>
            </w: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等情况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公共管理和社会保障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基本养老、基本医疗、社保基金收支情况等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bookmarkStart w:id="18" w:name="_Toc424560323"/>
      <w:bookmarkStart w:id="19" w:name="_Toc454278126"/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bookmarkStart w:id="20" w:name="_Toc25329392"/>
      <w:bookmarkStart w:id="21" w:name="_Toc25329395"/>
      <w:r>
        <w:rPr>
          <w:rFonts w:hint="eastAsia"/>
          <w:sz w:val="21"/>
        </w:rPr>
        <w:t>海关月度库</w:t>
      </w:r>
      <w:bookmarkEnd w:id="20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数据来源于海关总署，包括从1995年至今我国的进出口相关统计数据。内容涉及分商品、分贸易方式、分国家、分地区、分类章等方面的贸易指标。以时间序列形式全方位展现中国进出口货物贸易的状况，为分析研究人士提供准确、全面、及时权威的进出口数据，充分满足深度分析需求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（1）地区维度：全国及31个省区市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（2）数据频度：月度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（3）数据来源：海关总署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5 《海关月度库》指标架构</w:t>
      </w:r>
    </w:p>
    <w:tbl>
      <w:tblPr>
        <w:tblStyle w:val="13"/>
        <w:tblW w:w="8364" w:type="dxa"/>
        <w:tblInd w:w="108" w:type="dxa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52"/>
        <w:gridCol w:w="5912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3" w:hRule="atLeast"/>
        </w:trPr>
        <w:tc>
          <w:tcPr>
            <w:tcW w:w="2452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5912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452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进出口总值</w:t>
            </w:r>
          </w:p>
        </w:tc>
        <w:tc>
          <w:tcPr>
            <w:tcW w:w="5912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进出口差额、进出口总额、出口额、进口额等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</w:trPr>
        <w:tc>
          <w:tcPr>
            <w:tcW w:w="24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分类进出口总值</w:t>
            </w:r>
          </w:p>
        </w:tc>
        <w:tc>
          <w:tcPr>
            <w:tcW w:w="59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按商品类章（HS）分类的进出口总值、按国际贸易标准（SITC）分类的进出口总值等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24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分贸易方式进出口</w:t>
            </w:r>
          </w:p>
        </w:tc>
        <w:tc>
          <w:tcPr>
            <w:tcW w:w="59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进出口商品贸易方式总值、出口商品贸易方式企业性质总值、进口商品贸易方式企业性质总值等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8" w:hRule="atLeast"/>
        </w:trPr>
        <w:tc>
          <w:tcPr>
            <w:tcW w:w="24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分地区进出口</w:t>
            </w:r>
          </w:p>
        </w:tc>
        <w:tc>
          <w:tcPr>
            <w:tcW w:w="59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进出口商品境内目的地/货源地总值、按关区分布进出口总值、特定地区进出口总值、外商投资企业进出口总值等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atLeast"/>
        </w:trPr>
        <w:tc>
          <w:tcPr>
            <w:tcW w:w="24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分国家进出口</w:t>
            </w:r>
          </w:p>
        </w:tc>
        <w:tc>
          <w:tcPr>
            <w:tcW w:w="59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按国别分布的进出口总值、对部分国家按商品类章（HS）分类的进出口总值等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</w:trPr>
        <w:tc>
          <w:tcPr>
            <w:tcW w:w="245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进出口商品量值</w:t>
            </w:r>
          </w:p>
        </w:tc>
        <w:tc>
          <w:tcPr>
            <w:tcW w:w="591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商品进口数量、出口数量、进口额、出口额等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r>
        <w:rPr>
          <w:rFonts w:hint="eastAsia"/>
          <w:sz w:val="21"/>
        </w:rPr>
        <w:t>城市年度库</w:t>
      </w:r>
      <w:bookmarkEnd w:id="18"/>
      <w:bookmarkEnd w:id="19"/>
      <w:bookmarkEnd w:id="21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以统计局发布的城市数据为基础进行整合，提供自1994年以来反映全国290余个地级城市的经济和社会年度统计数据，主要包括国民经济核算、人口就业、农业、工业、投资、财政、交通、城市建设、教育卫生等10余个专题。全面反映城市经济和社会发展状况指标。地域范围广，指标选取典型，是做区域间经济对比分析研究的最优选择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（1）地区维度：290余个地级城市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（2）数据频度：年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6 《城市年度库》指标架构</w:t>
      </w:r>
    </w:p>
    <w:tbl>
      <w:tblPr>
        <w:tblStyle w:val="13"/>
        <w:tblW w:w="8000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5880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结构</w:t>
            </w:r>
          </w:p>
        </w:tc>
        <w:tc>
          <w:tcPr>
            <w:tcW w:w="588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国民经济核算</w:t>
            </w:r>
          </w:p>
        </w:tc>
        <w:tc>
          <w:tcPr>
            <w:tcW w:w="588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地区生产总值、地区生产总值增长率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人口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人口数、农业人口数、人口密度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就业与工资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就业及失业情况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工业总产值、利润等效益指标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邮政和电信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电话用户及互联网用户数量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固定资产投资总额、开发投资额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国内贸易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社会消费品零售总额及批发零售贸易业商品销售总额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利用外资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外商投资及实际利用外资情况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财政预算收入及预算支出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金融机构各项存贷款余额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各类学校、教师、学生情况等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文化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文化相关情况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卫生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卫生机构、人员情况等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房地产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房地产开发投资情况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居民生活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生活用水量、居民生活用电量等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环境保护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各地区的水环境、大气环境、生态环境及自然灾害情况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土地资源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土地面积及建成区土地面积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社会保障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基本养老、基本医疗情况等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城市建设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水电气供应及使用情况、公共交通及城市绿化情况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bookmarkStart w:id="22" w:name="_Toc454278127"/>
      <w:bookmarkStart w:id="23" w:name="_Toc424560324"/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bookmarkStart w:id="24" w:name="_Toc25329396"/>
      <w:r>
        <w:rPr>
          <w:rFonts w:hint="eastAsia"/>
          <w:sz w:val="21"/>
        </w:rPr>
        <w:t>县域年度库</w:t>
      </w:r>
      <w:bookmarkEnd w:id="22"/>
      <w:bookmarkEnd w:id="24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全面展现我国县域社会经济发展状况。数据来源于国家统计局，涵盖全国</w:t>
      </w:r>
      <w:r>
        <w:rPr>
          <w:rFonts w:ascii="宋体" w:hAnsi="宋体"/>
          <w:color w:val="000000"/>
          <w:shd w:val="clear" w:color="auto" w:fill="FFFFFF"/>
        </w:rPr>
        <w:t>2800</w:t>
      </w:r>
      <w:r>
        <w:rPr>
          <w:rFonts w:hint="eastAsia" w:ascii="宋体" w:hAnsi="宋体"/>
          <w:color w:val="000000"/>
          <w:shd w:val="clear" w:color="auto" w:fill="FFFFFF"/>
        </w:rPr>
        <w:t>余个县域单位的数据，内容包括国民经济核算、投资、财政金融、农业、工业、人口与就业、人民生活、基本建设、教育卫生、社会保障等领域的核心指标。为研究人员了解县域单位的经济发展态势，做县域间经济对比分析提供数据支持和服务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（1）地区维度：2</w:t>
      </w:r>
      <w:r>
        <w:rPr>
          <w:rFonts w:ascii="宋体" w:hAnsi="宋体"/>
          <w:color w:val="000000"/>
          <w:shd w:val="clear" w:color="auto" w:fill="FFFFFF"/>
        </w:rPr>
        <w:t>800</w:t>
      </w:r>
      <w:r>
        <w:rPr>
          <w:rFonts w:hint="eastAsia" w:ascii="宋体" w:hAnsi="宋体"/>
          <w:color w:val="000000"/>
          <w:shd w:val="clear" w:color="auto" w:fill="FFFFFF"/>
        </w:rPr>
        <w:t>余个县域单位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（2）数据频度：年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（3）数据来源：国家统计局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7 《县域年度库》指标架构</w:t>
      </w:r>
    </w:p>
    <w:tbl>
      <w:tblPr>
        <w:tblStyle w:val="13"/>
        <w:tblW w:w="8000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0"/>
        <w:gridCol w:w="5880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12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5880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12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地区生产总值</w:t>
            </w:r>
          </w:p>
        </w:tc>
        <w:tc>
          <w:tcPr>
            <w:tcW w:w="5880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地区生产总值情况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固定资产投资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固定资产投资完成额、房地产开发投资情况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社会消费品零售总额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社会消费品零售总额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财政、金融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地方公共财政收支、金融机构各项贷款情况等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对外贸易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出口额、实际利用外资情况等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农业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农产品产量、播种面积、农用机械情况等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工业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规模以上工业企业单位数、规模以上工业企业工业总产值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人口、就业和人民生活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人口数、就业人员数、可支配收入、居民储蓄存款余额等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行政区划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乡镇级区划数、土地面积等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资源与环境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主要污染物排放情况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能源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用电量情况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邮电通信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电话用户及互联网用户数量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教育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各类学校、教师、学生数量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文化与体育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文化与体育相关情况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卫生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医疗卫生机构</w:t>
            </w:r>
            <w:r>
              <w:rPr>
                <w:rFonts w:ascii="宋体" w:hAnsi="宋体" w:cs="微软雅黑"/>
                <w:color w:val="000000"/>
                <w:kern w:val="0"/>
                <w:szCs w:val="21"/>
              </w:rPr>
              <w:t>床位数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12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社会服务</w:t>
            </w:r>
          </w:p>
        </w:tc>
        <w:tc>
          <w:tcPr>
            <w:tcW w:w="58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社会服务机构单位数、社会服务机构床位数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sz w:val="21"/>
        </w:rPr>
      </w:pPr>
      <w:bookmarkStart w:id="25" w:name="_Toc454278128"/>
      <w:bookmarkStart w:id="26" w:name="_Toc25329397"/>
      <w:r>
        <w:rPr>
          <w:rFonts w:hint="eastAsia"/>
          <w:sz w:val="21"/>
        </w:rPr>
        <w:t>OECD月度库</w:t>
      </w:r>
      <w:bookmarkEnd w:id="23"/>
      <w:bookmarkEnd w:id="25"/>
      <w:bookmarkEnd w:id="26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OECD授权中经网数据有限公司为其主要经济指标数据库（MEI）中文版首家在线经销商。保证第一时间获得并发布数据。该库以 OECD的MEI数据库为主要来源，提供自1960年以来的季度、月度经济统计数据。包含OECD组织成员国（美国、日本、英国、德国、法国等）、非成员国（巴西、印度、印尼、中国、俄罗斯、南非等），以及国际主要经济组织如欧盟、西方七国、欧元区、北美自由贸易组织等数据；覆盖国际收支、国民账户、就业、生产、制造业、建筑业、价格、国内需求、金融、贸易、商业趋势调查、先行指标等三十个大类指标专题。同时配有详尽的指标名词解释，按国别及专题分类两种模式展现，全面深入地反映世界主要国家的经济发展趋势，是做国家间对比分析的最佳工具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（1）地区维度：OECD成员国、非成员国与国际主要经济组织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（2）数据频度：月度、季度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（3）数据来源：经济合作与发展组织(OECD)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Fonts w:ascii="宋体" w:hAnsi="宋体" w:eastAsia="宋体" w:cs="黑体"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8 《OECD月度库》指标架构</w:t>
      </w:r>
    </w:p>
    <w:tbl>
      <w:tblPr>
        <w:tblStyle w:val="13"/>
        <w:tblW w:w="8522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8"/>
        <w:gridCol w:w="6264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258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6264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国内生产总值GDP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GDP情况、GDP平减指数等指标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就业与工资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就业、失业情况及劳动报酬等指标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价格指数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消费者价格指数、服务项目消费价格指数、生产者价格指数等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国际收支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经常项目、资本项目、金融项目等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货币供应情况、利率、汇率情况、股票价格指数等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产销存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生产、销售、订购、存货、新开工情况等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对外贸易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进出口量值等指标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商业景气调查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建筑业、制造业、服务业等行业景气调查指标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消费者意向调查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消费者信心指数、消费者价格等指标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先行指标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先行合成指标、先行指标组等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pStyle w:val="3"/>
        <w:numPr>
          <w:ilvl w:val="0"/>
          <w:numId w:val="2"/>
        </w:numPr>
        <w:spacing w:before="0" w:after="0" w:line="360" w:lineRule="auto"/>
        <w:ind w:left="0" w:firstLine="0"/>
        <w:rPr>
          <w:rFonts w:ascii="仿宋" w:hAnsi="仿宋" w:eastAsia="仿宋"/>
          <w:sz w:val="24"/>
        </w:rPr>
      </w:pPr>
      <w:bookmarkStart w:id="27" w:name="_Toc25329398"/>
      <w:r>
        <w:rPr>
          <w:rFonts w:hint="eastAsia"/>
          <w:sz w:val="21"/>
        </w:rPr>
        <w:t>OECD年度库</w:t>
      </w:r>
      <w:bookmarkEnd w:id="27"/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OECD授权中经网数据有限公司为其主要经济指标数据库（MEI）中文版首家在线经销商。保证第一时间获得并发布数据。该库以 OECD的MEI数据库为主要来源，提供自1960年以来的年度经济统计数据。包含OECD组织成员国（美国、日本、英国、德国、法国等）、非成员国（巴西、印度、印尼、中国、俄罗斯、南非等），以及国际主要经济组织如欧盟、西方七国、欧元区、北美自由贸易组织等数据；覆盖国际收支、国民账户、就业、生产、制造业、建筑业、价格、国内需求、金融、贸易、商业趋势调查、先行指标等三十个大类指标专题。同时配有详尽的指标名词解释，按国别及专题分类两种模式展现，全面深入地反映世界主要国家的经济发展趋势，是做国家间对比分析的最佳工具。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（1）地区维度：OECD成员国、非成员国与国际主要经济组织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（2）数据频度：年度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（3）数据来源：经济合作与发展组织(OECD)</w:t>
      </w:r>
    </w:p>
    <w:p>
      <w:pPr>
        <w:spacing w:line="360" w:lineRule="auto"/>
        <w:ind w:firstLine="420" w:firstLineChars="200"/>
        <w:rPr>
          <w:rFonts w:ascii="宋体" w:hAnsi="宋体"/>
          <w:color w:val="000000"/>
          <w:shd w:val="clear" w:color="auto" w:fill="FFFFFF"/>
        </w:rPr>
      </w:pPr>
      <w:r>
        <w:rPr>
          <w:rFonts w:hint="eastAsia" w:ascii="宋体" w:hAnsi="宋体"/>
          <w:color w:val="000000"/>
          <w:shd w:val="clear" w:color="auto" w:fill="FFFFFF"/>
        </w:rPr>
        <w:t>（</w:t>
      </w:r>
      <w:r>
        <w:rPr>
          <w:rFonts w:hint="eastAsia" w:ascii="宋体" w:hAnsi="宋体"/>
          <w:color w:val="000000"/>
          <w:shd w:val="clear" w:color="auto" w:fill="FFFFFF"/>
          <w:lang w:val="en-US" w:eastAsia="zh-CN"/>
        </w:rPr>
        <w:t>4</w:t>
      </w:r>
      <w:r>
        <w:rPr>
          <w:rFonts w:hint="eastAsia" w:ascii="宋体" w:hAnsi="宋体"/>
          <w:color w:val="000000"/>
          <w:shd w:val="clear" w:color="auto" w:fill="FFFFFF"/>
        </w:rPr>
        <w:t>）指标内容：</w:t>
      </w:r>
    </w:p>
    <w:p>
      <w:pPr>
        <w:pStyle w:val="5"/>
        <w:spacing w:line="360" w:lineRule="auto"/>
        <w:rPr>
          <w:rStyle w:val="16"/>
          <w:rFonts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黑体"/>
          <w:sz w:val="21"/>
          <w:szCs w:val="21"/>
        </w:rPr>
        <w:t>表 9 《OECD年度库》指标架构</w:t>
      </w:r>
    </w:p>
    <w:tbl>
      <w:tblPr>
        <w:tblStyle w:val="13"/>
        <w:tblW w:w="8522" w:type="dxa"/>
        <w:jc w:val="center"/>
        <w:tblBorders>
          <w:top w:val="single" w:color="5A5A5A" w:sz="12" w:space="0"/>
          <w:left w:val="single" w:color="5A5A5A" w:sz="12" w:space="0"/>
          <w:bottom w:val="single" w:color="5A5A5A" w:sz="12" w:space="0"/>
          <w:right w:val="single" w:color="5A5A5A" w:sz="12" w:space="0"/>
          <w:insideH w:val="single" w:color="5A5A5A" w:sz="8" w:space="0"/>
          <w:insideV w:val="single" w:color="5A5A5A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8"/>
        <w:gridCol w:w="6264"/>
      </w:tblGrid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258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结构</w:t>
            </w:r>
          </w:p>
        </w:tc>
        <w:tc>
          <w:tcPr>
            <w:tcW w:w="6264" w:type="dxa"/>
            <w:tcBorders>
              <w:bottom w:val="single" w:color="5A5A5A" w:sz="12" w:space="0"/>
            </w:tcBorders>
            <w:shd w:val="clear" w:color="auto" w:fill="D9D9D9"/>
            <w:vAlign w:val="center"/>
          </w:tcPr>
          <w:p>
            <w:pPr>
              <w:widowControl/>
              <w:spacing w:line="360" w:lineRule="auto"/>
              <w:contextualSpacing/>
              <w:jc w:val="center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Cs w:val="21"/>
              </w:rPr>
              <w:t>指标内容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国内生产总值GDP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GDP情况、GDP平减指数等指标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就业与工资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就业、失业情况及劳动报酬等指标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  <w:jc w:val="center"/>
        </w:trPr>
        <w:tc>
          <w:tcPr>
            <w:tcW w:w="2258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价格指数</w:t>
            </w:r>
          </w:p>
        </w:tc>
        <w:tc>
          <w:tcPr>
            <w:tcW w:w="6264" w:type="dxa"/>
            <w:tcBorders>
              <w:top w:val="single" w:color="5A5A5A" w:sz="12" w:space="0"/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消费者价格指数、服务项目消费价格指数、生产者价格指数等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国际收支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经常项目、资本项目、金融项目等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金融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货币供应情况、利率、汇率情况、股票价格指数等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产销存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生产、销售、订购、存货、新开工情况等</w:t>
            </w:r>
          </w:p>
        </w:tc>
      </w:tr>
      <w:tr>
        <w:tblPrEx>
          <w:tblBorders>
            <w:top w:val="single" w:color="5A5A5A" w:sz="12" w:space="0"/>
            <w:left w:val="single" w:color="5A5A5A" w:sz="12" w:space="0"/>
            <w:bottom w:val="single" w:color="5A5A5A" w:sz="12" w:space="0"/>
            <w:right w:val="single" w:color="5A5A5A" w:sz="12" w:space="0"/>
            <w:insideH w:val="single" w:color="5A5A5A" w:sz="8" w:space="0"/>
            <w:insideV w:val="single" w:color="5A5A5A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  <w:jc w:val="center"/>
        </w:trPr>
        <w:tc>
          <w:tcPr>
            <w:tcW w:w="2258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b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b/>
                <w:color w:val="000000"/>
                <w:kern w:val="0"/>
                <w:szCs w:val="21"/>
              </w:rPr>
              <w:t>对外贸易</w:t>
            </w:r>
          </w:p>
        </w:tc>
        <w:tc>
          <w:tcPr>
            <w:tcW w:w="6264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360" w:lineRule="auto"/>
              <w:rPr>
                <w:rFonts w:ascii="宋体" w:hAnsi="宋体" w:cs="微软雅黑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微软雅黑"/>
                <w:color w:val="000000"/>
                <w:kern w:val="0"/>
                <w:szCs w:val="21"/>
              </w:rPr>
              <w:t>进出口量值等指标</w:t>
            </w:r>
          </w:p>
        </w:tc>
      </w:tr>
    </w:tbl>
    <w:p>
      <w:pPr>
        <w:spacing w:line="360" w:lineRule="auto"/>
        <w:rPr>
          <w:rFonts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注：具体以实际提供情况为准</w:t>
      </w:r>
    </w:p>
    <w:p>
      <w:pPr>
        <w:spacing w:line="360" w:lineRule="auto"/>
        <w:ind w:firstLine="420" w:firstLineChars="200"/>
        <w:jc w:val="left"/>
        <w:rPr>
          <w:rFonts w:ascii="宋体" w:hAnsi="宋体"/>
          <w:color w:val="000000"/>
          <w:shd w:val="clear" w:color="auto" w:fill="FFFFFF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仿宋">
    <w:altName w:val="Arial Unicode MS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rPr>
        <w:sz w:val="20"/>
        <w:szCs w:val="20"/>
      </w:rPr>
    </w:pPr>
    <w:r>
      <w:rPr>
        <w:rFonts w:ascii="Calibri" w:hAnsi="Calibri" w:eastAsia="宋体" w:cs="黑体"/>
        <w:kern w:val="2"/>
        <w:sz w:val="20"/>
        <w:szCs w:val="20"/>
        <w:lang w:val="en-US" w:eastAsia="zh-CN" w:bidi="ar-SA"/>
      </w:rPr>
      <w:pict>
        <v:rect id="文本框 3" o:spid="_x0000_s4100" o:spt="1" style="position:absolute;left:0pt;margin-top:0pt;height:144pt;width:144pt;mso-position-horizontal:center;mso-position-horizontal-relative:margin;mso-wrap-style:none;z-index:251660288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 inset="0mm,0mm,0mm,0mm" style="mso-fit-shape-to-text:t;">
            <w:txbxContent>
              <w:p>
                <w:pPr>
                  <w:pStyle w:val="9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rect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rFonts w:ascii="Calibri" w:hAnsi="Calibri" w:eastAsia="宋体" w:cs="黑体"/>
        <w:kern w:val="2"/>
        <w:sz w:val="18"/>
        <w:szCs w:val="22"/>
        <w:lang w:val="en-US" w:eastAsia="zh-CN" w:bidi="ar-SA"/>
      </w:rPr>
      <w:pict>
        <v:rect id="_x0000_s4097" o:spid="_x0000_s4097" o:spt="1" style="position:absolute;left:0pt;flip:y;margin-left:-26.65pt;margin-top:7pt;height:3.1pt;width:468.7pt;z-index:251658240;mso-width-relative:page;mso-height-relative:page;" fillcolor="#004DAE" filled="t" o:preferrelative="t" stroked="f" coordsize="21600,21600">
          <v:path/>
          <v:fill type="gradient" on="t" color2="#FFFFFF" opacity="25559f" o:opacity2="33423f" colors="0f #004DAE;5898f #004DAE;65536f #03BFFF" angle="-135" focus="0%" focussize="0f,0f" focusposition="0f,0f" method="linear sigma" rotate="t"/>
          <v:stroke on="f"/>
          <v:imagedata gain="65536f" blacklevel="0f" gamma="0" o:title=""/>
          <o:lock v:ext="edit" position="f" selection="f" grouping="f" rotation="f" cropping="f" text="f" aspectratio="f"/>
        </v:rect>
      </w:pict>
    </w:r>
    <w:r>
      <w:rPr>
        <w:rFonts w:ascii="Calibri" w:hAnsi="Calibri" w:eastAsia="宋体" w:cs="黑体"/>
        <w:kern w:val="2"/>
        <w:sz w:val="18"/>
        <w:szCs w:val="22"/>
        <w:lang w:val="en-US" w:eastAsia="zh-CN" w:bidi="ar-SA"/>
      </w:rPr>
      <w:pict>
        <v:rect id="文本框 5" o:spid="_x0000_s4098" o:spt="1" style="position:absolute;left:0pt;margin-left:329.9pt;margin-top:-17.2pt;height:28.5pt;width:148.5pt;z-index:251661312;mso-width-relative:page;mso-height-relative:page;" fillcolor="#FFFFFF" filled="f" o:preferrelative="t" stroked="f" coordsize="21600,21600">
          <v:path/>
          <v:fill on="f" color2="#FFFFFF" focussize="0,0"/>
          <v:stroke on="f"/>
          <v:imagedata gain="65536f" blacklevel="0f" gamma="0" o:title=""/>
          <o:lock v:ext="edit" position="f" selection="f" grouping="f" rotation="f" cropping="f" text="f" aspectratio="f"/>
          <v:textbox>
            <w:txbxContent>
              <w:p>
                <w:pPr>
                  <w:rPr>
                    <w:rFonts w:ascii="微软雅黑" w:hAnsi="微软雅黑" w:eastAsia="微软雅黑" w:cs="微软雅黑"/>
                    <w:sz w:val="18"/>
                    <w:szCs w:val="20"/>
                  </w:rPr>
                </w:pPr>
                <w:r>
                  <w:rPr>
                    <w:rFonts w:hint="eastAsia" w:ascii="微软雅黑" w:hAnsi="微软雅黑" w:eastAsia="微软雅黑" w:cs="微软雅黑"/>
                    <w:sz w:val="18"/>
                    <w:szCs w:val="20"/>
                  </w:rPr>
                  <w:t>用统计数据，就找中经网！</w:t>
                </w:r>
              </w:p>
            </w:txbxContent>
          </v:textbox>
        </v:rect>
      </w:pict>
    </w:r>
    <w:r>
      <w:rPr>
        <w:rFonts w:ascii="Calibri" w:hAnsi="Calibri" w:eastAsia="宋体" w:cs="黑体"/>
        <w:kern w:val="2"/>
        <w:sz w:val="18"/>
        <w:szCs w:val="22"/>
        <w:lang w:val="en-US" w:eastAsia="zh-CN" w:bidi="ar-SA"/>
      </w:rPr>
      <w:pict>
        <v:shape id="图片 2" o:spid="_x0000_s4099" o:spt="75" type="#_x0000_t75" style="position:absolute;left:0pt;margin-left:-21.5pt;margin-top:-23.15pt;height:24.8pt;width:120.25pt;z-index:251659264;mso-width-relative:page;mso-height-relative:page;" fillcolor="#FFFFFF" filled="f" o:preferrelative="t" stroked="f" coordsize="21600,21600">
          <v:path/>
          <v:fill on="f" color2="#FFFFFF" focussize="0,0"/>
          <v:stroke on="f"/>
          <v:imagedata r:id="rId1" gain="65536f" blacklevel="0f" gamma="0" o:title=""/>
          <o:lock v:ext="edit" position="f" selection="f" grouping="f" rotation="f" cropping="f" text="f" aspectratio="t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77035E"/>
    <w:multiLevelType w:val="multilevel"/>
    <w:tmpl w:val="4A77035E"/>
    <w:lvl w:ilvl="0" w:tentative="0">
      <w:start w:val="1"/>
      <w:numFmt w:val="decimal"/>
      <w:lvlText w:val="4.%1"/>
      <w:lvlJc w:val="left"/>
      <w:pPr>
        <w:ind w:left="562" w:hanging="420"/>
      </w:pPr>
      <w:rPr>
        <w:rFonts w:hint="default" w:ascii="微软雅黑" w:hAnsi="微软雅黑" w:eastAsia="微软雅黑"/>
        <w:b/>
      </w:rPr>
    </w:lvl>
    <w:lvl w:ilvl="1" w:tentative="0">
      <w:start w:val="1"/>
      <w:numFmt w:val="lowerLetter"/>
      <w:lvlText w:val="%2)"/>
      <w:lvlJc w:val="left"/>
      <w:pPr>
        <w:ind w:left="982" w:hanging="420"/>
      </w:pPr>
    </w:lvl>
    <w:lvl w:ilvl="2" w:tentative="0">
      <w:start w:val="1"/>
      <w:numFmt w:val="lowerRoman"/>
      <w:lvlText w:val="%3."/>
      <w:lvlJc w:val="right"/>
      <w:pPr>
        <w:ind w:left="1402" w:hanging="420"/>
      </w:pPr>
    </w:lvl>
    <w:lvl w:ilvl="3" w:tentative="0">
      <w:start w:val="1"/>
      <w:numFmt w:val="decimal"/>
      <w:lvlText w:val="%4."/>
      <w:lvlJc w:val="left"/>
      <w:pPr>
        <w:ind w:left="1822" w:hanging="420"/>
      </w:pPr>
    </w:lvl>
    <w:lvl w:ilvl="4" w:tentative="0">
      <w:start w:val="1"/>
      <w:numFmt w:val="lowerLetter"/>
      <w:lvlText w:val="%5)"/>
      <w:lvlJc w:val="left"/>
      <w:pPr>
        <w:ind w:left="2242" w:hanging="420"/>
      </w:pPr>
    </w:lvl>
    <w:lvl w:ilvl="5" w:tentative="0">
      <w:start w:val="1"/>
      <w:numFmt w:val="lowerRoman"/>
      <w:lvlText w:val="%6."/>
      <w:lvlJc w:val="right"/>
      <w:pPr>
        <w:ind w:left="2662" w:hanging="420"/>
      </w:pPr>
    </w:lvl>
    <w:lvl w:ilvl="6" w:tentative="0">
      <w:start w:val="1"/>
      <w:numFmt w:val="decimal"/>
      <w:lvlText w:val="%7."/>
      <w:lvlJc w:val="left"/>
      <w:pPr>
        <w:ind w:left="3082" w:hanging="420"/>
      </w:pPr>
    </w:lvl>
    <w:lvl w:ilvl="7" w:tentative="0">
      <w:start w:val="1"/>
      <w:numFmt w:val="lowerLetter"/>
      <w:lvlText w:val="%8)"/>
      <w:lvlJc w:val="left"/>
      <w:pPr>
        <w:ind w:left="3502" w:hanging="420"/>
      </w:pPr>
    </w:lvl>
    <w:lvl w:ilvl="8" w:tentative="0">
      <w:start w:val="1"/>
      <w:numFmt w:val="lowerRoman"/>
      <w:lvlText w:val="%9."/>
      <w:lvlJc w:val="right"/>
      <w:pPr>
        <w:ind w:left="3922" w:hanging="420"/>
      </w:pPr>
    </w:lvl>
  </w:abstractNum>
  <w:abstractNum w:abstractNumId="1">
    <w:nsid w:val="6C595F4A"/>
    <w:multiLevelType w:val="multilevel"/>
    <w:tmpl w:val="6C595F4A"/>
    <w:lvl w:ilvl="0" w:tentative="0">
      <w:start w:val="1"/>
      <w:numFmt w:val="decimal"/>
      <w:lvlText w:val="5.%1"/>
      <w:lvlJc w:val="left"/>
      <w:pPr>
        <w:ind w:left="420" w:hanging="420"/>
      </w:pPr>
      <w:rPr>
        <w:rFonts w:hint="default" w:ascii="微软雅黑" w:hAnsi="微软雅黑" w:eastAsia="微软雅黑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793929E1"/>
    <w:rsid w:val="00020EEE"/>
    <w:rsid w:val="00021F25"/>
    <w:rsid w:val="00024495"/>
    <w:rsid w:val="00032AB7"/>
    <w:rsid w:val="00053375"/>
    <w:rsid w:val="00066873"/>
    <w:rsid w:val="000A33CD"/>
    <w:rsid w:val="000C75F7"/>
    <w:rsid w:val="000E544F"/>
    <w:rsid w:val="000F21EF"/>
    <w:rsid w:val="00117CA6"/>
    <w:rsid w:val="00132B2D"/>
    <w:rsid w:val="00155A52"/>
    <w:rsid w:val="001814F9"/>
    <w:rsid w:val="00197466"/>
    <w:rsid w:val="001B1560"/>
    <w:rsid w:val="001E1DF2"/>
    <w:rsid w:val="001E588C"/>
    <w:rsid w:val="002042DB"/>
    <w:rsid w:val="002259CD"/>
    <w:rsid w:val="0024399C"/>
    <w:rsid w:val="00251246"/>
    <w:rsid w:val="002742A1"/>
    <w:rsid w:val="00285FC2"/>
    <w:rsid w:val="002B1DE3"/>
    <w:rsid w:val="0031289F"/>
    <w:rsid w:val="0033656E"/>
    <w:rsid w:val="0034556A"/>
    <w:rsid w:val="00352EB5"/>
    <w:rsid w:val="003669CB"/>
    <w:rsid w:val="003754C5"/>
    <w:rsid w:val="003815AF"/>
    <w:rsid w:val="003A3E3C"/>
    <w:rsid w:val="003B1BB1"/>
    <w:rsid w:val="003F5423"/>
    <w:rsid w:val="003F5ECE"/>
    <w:rsid w:val="0042517F"/>
    <w:rsid w:val="0043485E"/>
    <w:rsid w:val="00435F8D"/>
    <w:rsid w:val="004520DA"/>
    <w:rsid w:val="00452874"/>
    <w:rsid w:val="00454CB9"/>
    <w:rsid w:val="00482E58"/>
    <w:rsid w:val="00487DDC"/>
    <w:rsid w:val="004C24A8"/>
    <w:rsid w:val="004C5F1E"/>
    <w:rsid w:val="004C68D4"/>
    <w:rsid w:val="004C772E"/>
    <w:rsid w:val="004F14AF"/>
    <w:rsid w:val="004F6D74"/>
    <w:rsid w:val="005071A1"/>
    <w:rsid w:val="0051636E"/>
    <w:rsid w:val="005309B9"/>
    <w:rsid w:val="0053234F"/>
    <w:rsid w:val="00545BB0"/>
    <w:rsid w:val="0056137E"/>
    <w:rsid w:val="00571350"/>
    <w:rsid w:val="0057180E"/>
    <w:rsid w:val="00590534"/>
    <w:rsid w:val="00592AEC"/>
    <w:rsid w:val="00596539"/>
    <w:rsid w:val="005E1FCE"/>
    <w:rsid w:val="00634982"/>
    <w:rsid w:val="00644C6F"/>
    <w:rsid w:val="00654C6B"/>
    <w:rsid w:val="00694F89"/>
    <w:rsid w:val="006B020E"/>
    <w:rsid w:val="006B3FFA"/>
    <w:rsid w:val="006D6728"/>
    <w:rsid w:val="006E354C"/>
    <w:rsid w:val="007224C4"/>
    <w:rsid w:val="00771D99"/>
    <w:rsid w:val="00794901"/>
    <w:rsid w:val="007C0975"/>
    <w:rsid w:val="007E74E0"/>
    <w:rsid w:val="008143C0"/>
    <w:rsid w:val="00826EC5"/>
    <w:rsid w:val="0083076D"/>
    <w:rsid w:val="00830D0F"/>
    <w:rsid w:val="008837A9"/>
    <w:rsid w:val="008A1CAD"/>
    <w:rsid w:val="008A2CB1"/>
    <w:rsid w:val="008A4474"/>
    <w:rsid w:val="008A58F5"/>
    <w:rsid w:val="008B7185"/>
    <w:rsid w:val="008C37D2"/>
    <w:rsid w:val="008C578B"/>
    <w:rsid w:val="008E5851"/>
    <w:rsid w:val="008F68FA"/>
    <w:rsid w:val="009026BA"/>
    <w:rsid w:val="00916469"/>
    <w:rsid w:val="009173A5"/>
    <w:rsid w:val="00921E73"/>
    <w:rsid w:val="00934B2B"/>
    <w:rsid w:val="00951220"/>
    <w:rsid w:val="00975353"/>
    <w:rsid w:val="00980DF8"/>
    <w:rsid w:val="009E45E2"/>
    <w:rsid w:val="00A132AA"/>
    <w:rsid w:val="00A327DC"/>
    <w:rsid w:val="00A64F1C"/>
    <w:rsid w:val="00A75EA3"/>
    <w:rsid w:val="00AA27D6"/>
    <w:rsid w:val="00AB4F88"/>
    <w:rsid w:val="00AE40E1"/>
    <w:rsid w:val="00AF4160"/>
    <w:rsid w:val="00B23EB0"/>
    <w:rsid w:val="00B60552"/>
    <w:rsid w:val="00B654F1"/>
    <w:rsid w:val="00B71326"/>
    <w:rsid w:val="00B83ADD"/>
    <w:rsid w:val="00B90864"/>
    <w:rsid w:val="00BB3280"/>
    <w:rsid w:val="00BF7480"/>
    <w:rsid w:val="00C17513"/>
    <w:rsid w:val="00C444DC"/>
    <w:rsid w:val="00C505E5"/>
    <w:rsid w:val="00C830F2"/>
    <w:rsid w:val="00CA1F18"/>
    <w:rsid w:val="00CC2D17"/>
    <w:rsid w:val="00CE6634"/>
    <w:rsid w:val="00CF1498"/>
    <w:rsid w:val="00D10AC7"/>
    <w:rsid w:val="00D4007A"/>
    <w:rsid w:val="00D42562"/>
    <w:rsid w:val="00D47F4C"/>
    <w:rsid w:val="00D554AF"/>
    <w:rsid w:val="00D64A82"/>
    <w:rsid w:val="00D9555C"/>
    <w:rsid w:val="00DD41BE"/>
    <w:rsid w:val="00E12723"/>
    <w:rsid w:val="00E17042"/>
    <w:rsid w:val="00E51176"/>
    <w:rsid w:val="00E51978"/>
    <w:rsid w:val="00E67AD7"/>
    <w:rsid w:val="00E97959"/>
    <w:rsid w:val="00EB1C8B"/>
    <w:rsid w:val="00EC61E2"/>
    <w:rsid w:val="00EF3228"/>
    <w:rsid w:val="00F17B02"/>
    <w:rsid w:val="00F36BF1"/>
    <w:rsid w:val="00F611E5"/>
    <w:rsid w:val="00F709E1"/>
    <w:rsid w:val="00F76C0F"/>
    <w:rsid w:val="00F8135F"/>
    <w:rsid w:val="00F820A4"/>
    <w:rsid w:val="00F822BC"/>
    <w:rsid w:val="00F971B1"/>
    <w:rsid w:val="00FC0F68"/>
    <w:rsid w:val="00FC2C8E"/>
    <w:rsid w:val="00FC6E97"/>
    <w:rsid w:val="00FE2F29"/>
    <w:rsid w:val="00FE3840"/>
    <w:rsid w:val="00FF4855"/>
    <w:rsid w:val="0BFD122C"/>
    <w:rsid w:val="123664C5"/>
    <w:rsid w:val="210E7EA0"/>
    <w:rsid w:val="21EA2403"/>
    <w:rsid w:val="2227671E"/>
    <w:rsid w:val="2360056E"/>
    <w:rsid w:val="25F40507"/>
    <w:rsid w:val="2A2F16BB"/>
    <w:rsid w:val="2B2538A6"/>
    <w:rsid w:val="36511E0C"/>
    <w:rsid w:val="3A2079C7"/>
    <w:rsid w:val="42BE088D"/>
    <w:rsid w:val="47801049"/>
    <w:rsid w:val="489B6B62"/>
    <w:rsid w:val="71DC6D76"/>
    <w:rsid w:val="721B639A"/>
    <w:rsid w:val="7252283D"/>
    <w:rsid w:val="73945FD0"/>
    <w:rsid w:val="76FA0F25"/>
    <w:rsid w:val="793929E1"/>
    <w:rsid w:val="7DEC1E6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8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pPr>
      <w:jc w:val="center"/>
    </w:pPr>
    <w:rPr>
      <w:rFonts w:ascii="Calibri Light" w:hAnsi="Calibri Light" w:eastAsia="宋体" w:cs="黑体"/>
      <w:sz w:val="20"/>
      <w:szCs w:val="24"/>
    </w:rPr>
  </w:style>
  <w:style w:type="paragraph" w:styleId="6">
    <w:name w:val="annotation text"/>
    <w:basedOn w:val="1"/>
    <w:link w:val="26"/>
    <w:uiPriority w:val="0"/>
    <w:pPr>
      <w:jc w:val="left"/>
    </w:pPr>
  </w:style>
  <w:style w:type="paragraph" w:styleId="7">
    <w:name w:val="Body Text Indent"/>
    <w:basedOn w:val="1"/>
    <w:link w:val="25"/>
    <w:qFormat/>
    <w:uiPriority w:val="0"/>
    <w:pPr>
      <w:ind w:firstLine="540"/>
    </w:pPr>
    <w:rPr>
      <w:rFonts w:ascii="Times New Roman" w:hAnsi="Times New Roman" w:eastAsia="宋体" w:cs="Times New Roman"/>
      <w:shadow/>
      <w:szCs w:val="28"/>
    </w:rPr>
  </w:style>
  <w:style w:type="paragraph" w:styleId="8">
    <w:name w:val="Balloon Text"/>
    <w:basedOn w:val="1"/>
    <w:link w:val="24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2">
    <w:name w:val="annotation subject"/>
    <w:basedOn w:val="6"/>
    <w:next w:val="6"/>
    <w:link w:val="27"/>
    <w:uiPriority w:val="0"/>
    <w:rPr>
      <w:b/>
      <w:bCs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Hyperlink"/>
    <w:basedOn w:val="15"/>
    <w:qFormat/>
    <w:uiPriority w:val="0"/>
    <w:rPr>
      <w:color w:val="0000FF"/>
      <w:u w:val="single"/>
    </w:rPr>
  </w:style>
  <w:style w:type="character" w:styleId="18">
    <w:name w:val="annotation reference"/>
    <w:basedOn w:val="15"/>
    <w:uiPriority w:val="0"/>
    <w:rPr>
      <w:sz w:val="21"/>
      <w:szCs w:val="21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paragraph" w:customStyle="1" w:styleId="20">
    <w:name w:val="标题5"/>
    <w:basedOn w:val="1"/>
    <w:link w:val="23"/>
    <w:qFormat/>
    <w:uiPriority w:val="0"/>
    <w:rPr>
      <w:b/>
      <w:color w:val="000000"/>
      <w:sz w:val="28"/>
      <w:shd w:val="clear" w:color="auto" w:fill="FFFFFF"/>
    </w:rPr>
  </w:style>
  <w:style w:type="paragraph" w:customStyle="1" w:styleId="21">
    <w:name w:val="样式 行距: 1.5 倍行距"/>
    <w:basedOn w:val="1"/>
    <w:uiPriority w:val="0"/>
    <w:pPr>
      <w:spacing w:line="360" w:lineRule="auto"/>
      <w:ind w:firstLine="420" w:firstLineChars="200"/>
    </w:pPr>
    <w:rPr>
      <w:rFonts w:ascii="Times New Roman" w:hAnsi="Times New Roman" w:eastAsia="宋体" w:cs="宋体"/>
      <w:sz w:val="24"/>
      <w:szCs w:val="20"/>
    </w:rPr>
  </w:style>
  <w:style w:type="paragraph" w:customStyle="1" w:styleId="22">
    <w:name w:val="周评正文"/>
    <w:basedOn w:val="1"/>
    <w:uiPriority w:val="0"/>
    <w:pPr>
      <w:adjustRightInd w:val="0"/>
      <w:snapToGrid w:val="0"/>
      <w:spacing w:before="120" w:line="360" w:lineRule="auto"/>
      <w:ind w:firstLine="567"/>
    </w:pPr>
    <w:rPr>
      <w:rFonts w:ascii="Times New Roman" w:hAnsi="Times New Roman" w:eastAsia="仿宋_GB2312" w:cs="Times New Roman"/>
      <w:snapToGrid w:val="0"/>
      <w:kern w:val="0"/>
      <w:sz w:val="30"/>
      <w:szCs w:val="20"/>
    </w:rPr>
  </w:style>
  <w:style w:type="character" w:customStyle="1" w:styleId="23">
    <w:name w:val="标题5 Char"/>
    <w:basedOn w:val="15"/>
    <w:link w:val="20"/>
    <w:qFormat/>
    <w:uiPriority w:val="0"/>
    <w:rPr>
      <w:rFonts w:ascii="Calibri" w:hAnsi="Calibri" w:eastAsia="宋体" w:cs="黑体"/>
      <w:b/>
      <w:color w:val="000000"/>
      <w:kern w:val="2"/>
      <w:sz w:val="28"/>
      <w:szCs w:val="22"/>
    </w:rPr>
  </w:style>
  <w:style w:type="character" w:customStyle="1" w:styleId="24">
    <w:name w:val="批注框文本 Char"/>
    <w:basedOn w:val="15"/>
    <w:link w:val="8"/>
    <w:uiPriority w:val="0"/>
    <w:rPr>
      <w:rFonts w:ascii="Calibri" w:hAnsi="Calibri" w:eastAsia="宋体" w:cs="黑体"/>
      <w:kern w:val="2"/>
      <w:sz w:val="18"/>
      <w:szCs w:val="18"/>
    </w:rPr>
  </w:style>
  <w:style w:type="character" w:customStyle="1" w:styleId="25">
    <w:name w:val="正文文本缩进 Char"/>
    <w:basedOn w:val="15"/>
    <w:link w:val="7"/>
    <w:uiPriority w:val="0"/>
    <w:rPr>
      <w:shadow/>
      <w:kern w:val="2"/>
      <w:sz w:val="21"/>
      <w:szCs w:val="28"/>
    </w:rPr>
  </w:style>
  <w:style w:type="character" w:customStyle="1" w:styleId="26">
    <w:name w:val="批注文字 Char"/>
    <w:basedOn w:val="15"/>
    <w:link w:val="6"/>
    <w:uiPriority w:val="0"/>
    <w:rPr>
      <w:rFonts w:ascii="Calibri" w:hAnsi="Calibri" w:eastAsia="宋体" w:cs="黑体"/>
      <w:kern w:val="2"/>
      <w:sz w:val="21"/>
      <w:szCs w:val="22"/>
    </w:rPr>
  </w:style>
  <w:style w:type="character" w:customStyle="1" w:styleId="27">
    <w:name w:val="批注主题 Char"/>
    <w:basedOn w:val="26"/>
    <w:link w:val="12"/>
    <w:uiPriority w:val="0"/>
    <w:rPr>
      <w:rFonts w:ascii="Calibri" w:hAnsi="Calibri" w:eastAsia="宋体" w:cs="黑体"/>
      <w:b/>
      <w:bCs/>
      <w:kern w:val="2"/>
      <w:sz w:val="21"/>
      <w:szCs w:val="22"/>
    </w:rPr>
  </w:style>
  <w:style w:type="character" w:customStyle="1" w:styleId="28">
    <w:name w:val="标题 1 Char"/>
    <w:basedOn w:val="15"/>
    <w:link w:val="2"/>
    <w:uiPriority w:val="0"/>
    <w:rPr>
      <w:rFonts w:ascii="Calibri" w:hAnsi="Calibri" w:eastAsia="宋体" w:cs="黑体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  <customShpInfo spid="_x0000_s4099"/>
    <customShpInfo spid="_x0000_s410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shenduxitong</Company>
  <Pages>18</Pages>
  <Words>1459</Words>
  <Characters>8317</Characters>
  <Lines>69</Lines>
  <Paragraphs>19</Paragraphs>
  <TotalTime>5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2021-01-05T07:29:00Z</dcterms:created>
  <dc:creator>金琳涵</dc:creator>
  <cp:lastModifiedBy>lxm</cp:lastModifiedBy>
  <dcterms:modified xsi:type="dcterms:W3CDTF">2021-11-22T07:46:30Z</dcterms:modified>
  <dc:title>中经网统计数据库产品介绍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